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DF05D2A">
      <w:pPr>
        <w:widowControl/>
        <w:numPr>
          <w:ilvl w:val="0"/>
          <w:numId w:val="0"/>
        </w:numPr>
        <w:pBdr>
          <w:bottom w:val="none" w:sz="0" w:space="0" w:color="auto"/>
        </w:pBdr>
        <w:spacing w:after="120" w:line="360" w:lineRule="auto"/>
        <w:ind w:firstLine="440" w:firstLineChars="200"/>
        <w:jc w:val="left"/>
        <w:rPr>
          <w:rFonts w:ascii="宋体" w:eastAsia="宋体" w:hAnsi="宋体" w:cs="宋体" w:hint="eastAsia"/>
          <w:b w:val="0"/>
          <w:color w:val="0000FF"/>
          <w:kern w:val="0"/>
          <w:sz w:val="22"/>
          <w:szCs w:val="22"/>
          <w:lang w:val="en-US" w:eastAsia="zh-CN"/>
        </w:rPr>
      </w:pPr>
      <w:r>
        <w:rPr>
          <w:rFonts w:ascii="宋体" w:eastAsia="宋体" w:hAnsi="宋体" w:cs="宋体" w:hint="eastAsia"/>
          <w:b w:val="0"/>
          <w:color w:val="0000FF"/>
          <w:kern w:val="0"/>
          <w:sz w:val="22"/>
          <w:szCs w:val="22"/>
          <w:lang w:val="en-US" w:eastAsia="zh-CN"/>
        </w:rPr>
        <w:t>在海外市场的拓展中，竞争法以及反垄断规则是企业不能逾越的制度壁垒。本章立足中国企业“走出去”的实际情境，以“竞争行为规制、集中交易审查、合规制度构建”为逻辑主线，分三大部分展开论述，构建海外市场竞争风险防范及反垄断合规体系。</w:t>
      </w:r>
    </w:p>
    <w:p w14:paraId="71D4E645">
      <w:pPr>
        <w:widowControl/>
        <w:numPr>
          <w:ilvl w:val="0"/>
          <w:numId w:val="0"/>
        </w:numPr>
        <w:pBdr>
          <w:bottom w:val="none" w:sz="0" w:space="0" w:color="auto"/>
        </w:pBdr>
        <w:spacing w:after="120" w:line="360" w:lineRule="auto"/>
        <w:ind w:firstLine="440" w:firstLineChars="200"/>
        <w:jc w:val="left"/>
        <w:rPr>
          <w:rFonts w:ascii="宋体" w:eastAsia="宋体" w:hAnsi="宋体" w:cs="宋体" w:hint="eastAsia"/>
          <w:b w:val="0"/>
          <w:color w:val="0000FF"/>
          <w:kern w:val="0"/>
          <w:sz w:val="22"/>
          <w:szCs w:val="22"/>
          <w:lang w:val="en-US" w:eastAsia="zh-CN"/>
        </w:rPr>
      </w:pPr>
      <w:r>
        <w:rPr>
          <w:rFonts w:ascii="宋体" w:eastAsia="宋体" w:hAnsi="宋体" w:cs="宋体" w:hint="eastAsia"/>
          <w:b w:val="0"/>
          <w:color w:val="0000FF"/>
          <w:kern w:val="0"/>
          <w:sz w:val="22"/>
          <w:szCs w:val="22"/>
          <w:lang w:val="en-US" w:eastAsia="zh-CN"/>
        </w:rPr>
        <w:t>第一节为海外市场竞争风险防范，主要研究企业在日常经营中有关竞争行为规制的问题，对美国、欧盟、日本、东南亚主要法域反不正当竞争规则的体系差别及执法特点进行梳理，指出营销宣传、定价策略、渠道管控、商业秘密保护等常见风险领域合规边界，指导企业在杂乱多变的规则中找到行为红线。</w:t>
      </w:r>
    </w:p>
    <w:p w14:paraId="7FAF185B">
      <w:pPr>
        <w:widowControl/>
        <w:numPr>
          <w:ilvl w:val="0"/>
          <w:numId w:val="0"/>
        </w:numPr>
        <w:pBdr>
          <w:bottom w:val="none" w:sz="0" w:space="0" w:color="auto"/>
        </w:pBdr>
        <w:spacing w:after="120" w:line="360" w:lineRule="auto"/>
        <w:ind w:firstLine="440" w:firstLineChars="200"/>
        <w:jc w:val="left"/>
        <w:rPr>
          <w:rFonts w:ascii="宋体" w:eastAsia="宋体" w:hAnsi="宋体" w:cs="宋体" w:hint="eastAsia"/>
          <w:b w:val="0"/>
          <w:color w:val="0000FF"/>
          <w:kern w:val="0"/>
          <w:sz w:val="22"/>
          <w:szCs w:val="22"/>
          <w:lang w:val="en-US" w:eastAsia="zh-CN"/>
        </w:rPr>
      </w:pPr>
      <w:r>
        <w:rPr>
          <w:rFonts w:ascii="宋体" w:eastAsia="宋体" w:hAnsi="宋体" w:cs="宋体" w:hint="eastAsia"/>
          <w:b w:val="0"/>
          <w:color w:val="0000FF"/>
          <w:kern w:val="0"/>
          <w:sz w:val="22"/>
          <w:szCs w:val="22"/>
          <w:lang w:val="en-US" w:eastAsia="zh-CN"/>
        </w:rPr>
        <w:t>第二节“海外经营者集中申报规则”主要针对并购交易前置审查义务进行阐述，主要从经营者集中认定标准、申报门槛触发条件、“先报后审”程序要求三个方面入手，选取美国、欧盟、德国、日本及东南亚国家的相关规则，分析各国申报制度的协调方式以及中止义务的强制性规定，帮助企业在交易架构设计之初就做好申报评价和时间安排。</w:t>
      </w:r>
    </w:p>
    <w:p w14:paraId="124C66F3">
      <w:pPr>
        <w:widowControl/>
        <w:numPr>
          <w:ilvl w:val="0"/>
          <w:numId w:val="0"/>
        </w:numPr>
        <w:pBdr>
          <w:bottom w:val="none" w:sz="0" w:space="0" w:color="auto"/>
        </w:pBdr>
        <w:spacing w:after="120" w:line="360" w:lineRule="auto"/>
        <w:ind w:firstLine="440" w:firstLineChars="200"/>
        <w:jc w:val="left"/>
        <w:rPr>
          <w:rFonts w:ascii="宋体" w:eastAsia="宋体" w:hAnsi="宋体" w:cs="宋体" w:hint="eastAsia"/>
          <w:b w:val="0"/>
          <w:color w:val="0000FF"/>
          <w:kern w:val="0"/>
          <w:sz w:val="22"/>
          <w:szCs w:val="22"/>
          <w:lang w:val="en-US" w:eastAsia="zh-CN"/>
        </w:rPr>
      </w:pPr>
      <w:r>
        <w:rPr>
          <w:rFonts w:ascii="宋体" w:eastAsia="宋体" w:hAnsi="宋体" w:cs="宋体" w:hint="eastAsia"/>
          <w:b w:val="0"/>
          <w:color w:val="0000FF"/>
          <w:kern w:val="0"/>
          <w:sz w:val="22"/>
          <w:szCs w:val="22"/>
          <w:lang w:val="en-US" w:eastAsia="zh-CN"/>
        </w:rPr>
        <w:t>第三节“企业出海反垄断合规指引”以合规机制由“纸面”变“落地”为主线，对反垄断诉讼、行政调查、纵向限制三种常见的风险情景进行分析，在职责划分、手册编制、培训设计、审查触发四个方面给出可行的机制建设方案，让企业把竞争合规嵌入到投资决策、合同管理、日常经营的全过程当中。</w:t>
      </w:r>
    </w:p>
    <w:p w14:paraId="04923AE3"/>
    <w:p w14:paraId="26EB7765">
      <w:pPr>
        <w:widowControl/>
        <w:spacing w:before="240" w:after="80" w:line="360" w:lineRule="auto"/>
        <w:jc w:val="left"/>
        <w:rPr>
          <w:rFonts w:ascii="黑体" w:eastAsia="黑体" w:hAnsi="黑体" w:cs="宋体" w:hint="eastAsia"/>
          <w:b/>
          <w:color w:val="auto"/>
          <w:kern w:val="0"/>
          <w:sz w:val="24"/>
          <w:szCs w:val="22"/>
          <w:lang w:eastAsia="en-US"/>
        </w:rPr>
      </w:pPr>
      <w:r>
        <w:rPr>
          <w:rFonts w:ascii="黑体" w:eastAsia="黑体" w:hAnsi="黑体" w:cs="宋体" w:hint="eastAsia"/>
          <w:b/>
          <w:color w:val="auto"/>
          <w:kern w:val="0"/>
          <w:sz w:val="24"/>
          <w:szCs w:val="22"/>
          <w:lang w:eastAsia="en-US"/>
        </w:rPr>
        <w:t>（四）对企业的影响</w:t>
      </w:r>
    </w:p>
    <w:p w14:paraId="58F379CF">
      <w:pPr>
        <w:spacing w:line="360" w:lineRule="auto"/>
        <w:ind w:firstLine="420" w:firstLineChars="200"/>
        <w:rPr>
          <w:rFonts w:ascii="宋体" w:eastAsia="宋体" w:hAnsi="宋体" w:cs="宋体" w:hint="eastAsia"/>
          <w:b w:val="0"/>
          <w:bCs w:val="0"/>
          <w:color w:val="auto"/>
          <w:sz w:val="22"/>
          <w:szCs w:val="22"/>
        </w:rPr>
      </w:pPr>
      <w:r>
        <w:rPr>
          <w:rFonts w:ascii="黑体" w:eastAsia="黑体" w:hAnsi="黑体" w:hint="eastAsia"/>
          <w:b/>
          <w:color w:val="auto"/>
          <w:sz w:val="21"/>
        </w:rPr>
        <w:t>〔合</w:t>
      </w:r>
      <w:r>
        <w:rPr>
          <w:rFonts w:ascii="黑体" w:eastAsia="黑体" w:hAnsi="黑体" w:hint="eastAsia"/>
          <w:b/>
          <w:color w:val="auto"/>
          <w:sz w:val="21"/>
          <w:lang w:val="en-US" w:eastAsia="zh-CN"/>
        </w:rPr>
        <w:t>规建议〕</w:t>
      </w:r>
      <w:r>
        <w:rPr>
          <w:rFonts w:ascii="黑体" w:eastAsia="黑体" w:hAnsi="黑体" w:hint="eastAsia"/>
          <w:b/>
          <w:color w:val="auto"/>
          <w:sz w:val="21"/>
        </w:rPr>
        <w:t>美</w:t>
      </w:r>
      <w:r>
        <w:rPr>
          <w:rFonts w:ascii="宋体" w:eastAsia="宋体" w:hAnsi="宋体" w:cs="宋体" w:hint="eastAsia"/>
          <w:b w:val="0"/>
          <w:bCs w:val="0"/>
          <w:color w:val="auto"/>
          <w:sz w:val="22"/>
          <w:szCs w:val="22"/>
        </w:rPr>
        <w:t>国反不正当竞争规则分散、州际差别大给美国市场经营的中国企业带来很大的合规风险。企业对于定价政策、渠道管理策略以及广告宣传方案的制订不能只看联邦法律，而应当对拟开展业务的各个州的法律要求进行逐一的考察。出海的企业应该聘请懂当地法律的合规顾问在产品定价、经销商合同、广告用语方面做提前的审查工作。</w:t>
      </w:r>
    </w:p>
    <w:p w14:paraId="6B5FE426">
      <w:pPr>
        <w:widowControl/>
        <w:spacing w:before="240" w:after="120" w:line="360" w:lineRule="auto"/>
        <w:jc w:val="left"/>
        <w:rPr>
          <w:rFonts w:ascii="黑体" w:eastAsia="黑体" w:hAnsi="黑体" w:cs="宋体" w:hint="eastAsia"/>
          <w:b/>
          <w:color w:val="0000FF"/>
          <w:kern w:val="0"/>
          <w:sz w:val="26"/>
          <w:szCs w:val="22"/>
          <w:lang w:eastAsia="en-US"/>
        </w:rPr>
      </w:pPr>
      <w:r>
        <w:rPr>
          <w:rFonts w:ascii="黑体" w:eastAsia="黑体" w:hAnsi="黑体" w:cs="宋体" w:hint="eastAsia"/>
          <w:b/>
          <w:color w:val="0000FF"/>
          <w:kern w:val="0"/>
          <w:sz w:val="26"/>
          <w:szCs w:val="22"/>
          <w:lang w:eastAsia="en-US"/>
        </w:rPr>
        <w:t>二、欧盟：统一指令下的高保护标准</w:t>
      </w:r>
    </w:p>
    <w:p w14:paraId="57E1229D">
      <w:pPr>
        <w:spacing w:line="360" w:lineRule="auto"/>
        <w:ind w:firstLine="440" w:firstLineChars="200"/>
        <w:rPr>
          <w:rFonts w:ascii="宋体" w:eastAsia="宋体" w:hAnsi="宋体" w:cs="宋体" w:hint="eastAsia"/>
          <w:b w:val="0"/>
          <w:bCs w:val="0"/>
          <w:color w:val="0000FF"/>
          <w:sz w:val="22"/>
          <w:szCs w:val="22"/>
        </w:rPr>
      </w:pPr>
      <w:r>
        <w:rPr>
          <w:rFonts w:ascii="宋体" w:eastAsia="宋体" w:hAnsi="宋体" w:cs="宋体" w:hint="eastAsia"/>
          <w:b w:val="0"/>
          <w:bCs w:val="0"/>
          <w:color w:val="0000FF"/>
          <w:sz w:val="22"/>
          <w:szCs w:val="22"/>
        </w:rPr>
        <w:t>与美国不同的是，欧盟通过发布统一指令（Directive）来建立各个成员国反不正当竞争规则之间的协调一致</w:t>
      </w:r>
      <w:r>
        <w:rPr>
          <w:rStyle w:val="FootnoteReference"/>
          <w:rFonts w:ascii="宋体" w:eastAsia="宋体" w:hAnsi="宋体" w:cs="宋体" w:hint="eastAsia"/>
          <w:b w:val="0"/>
          <w:bCs w:val="0"/>
          <w:color w:val="0000FF"/>
          <w:sz w:val="22"/>
          <w:szCs w:val="22"/>
        </w:rPr>
        <w:t>[</w:t>
      </w:r>
      <w:r>
        <w:rPr>
          <w:rStyle w:val="FootnoteReference"/>
          <w:rFonts w:ascii="宋体" w:eastAsia="宋体" w:hAnsi="宋体" w:cs="宋体" w:hint="eastAsia"/>
          <w:b w:val="0"/>
          <w:bCs w:val="0"/>
          <w:color w:val="0000FF"/>
          <w:sz w:val="22"/>
          <w:szCs w:val="22"/>
        </w:rPr>
        <w:footnoteReference w:id="2"/>
      </w:r>
      <w:r>
        <w:rPr>
          <w:rStyle w:val="FootnoteReference"/>
          <w:rFonts w:ascii="宋体" w:eastAsia="宋体" w:hAnsi="宋体" w:cs="宋体" w:hint="eastAsia"/>
          <w:b w:val="0"/>
          <w:bCs w:val="0"/>
          <w:color w:val="0000FF"/>
          <w:sz w:val="22"/>
          <w:szCs w:val="22"/>
        </w:rPr>
        <w:t>]</w:t>
      </w:r>
      <w:r>
        <w:rPr>
          <w:rFonts w:ascii="宋体" w:eastAsia="宋体" w:hAnsi="宋体" w:cs="宋体" w:hint="eastAsia"/>
          <w:b w:val="0"/>
          <w:bCs w:val="0"/>
          <w:color w:val="0000FF"/>
          <w:sz w:val="22"/>
          <w:szCs w:val="22"/>
        </w:rPr>
        <w:t>。其中最有代表性的就是2005年颁布的《不公平商业行为指令》（Directive 2005/29/EC），该指令于2019年修订为指令（EU）2019/2161。</w:t>
      </w:r>
    </w:p>
    <w:p w14:paraId="3CAAF0BB">
      <w:pPr>
        <w:widowControl/>
        <w:spacing w:before="240" w:after="80" w:line="360" w:lineRule="auto"/>
        <w:jc w:val="left"/>
        <w:rPr>
          <w:rFonts w:ascii="黑体" w:eastAsia="黑体" w:hAnsi="黑体" w:cs="宋体" w:hint="eastAsia"/>
          <w:b/>
          <w:color w:val="0000FF"/>
          <w:kern w:val="0"/>
          <w:sz w:val="24"/>
          <w:szCs w:val="22"/>
          <w:lang w:eastAsia="en-US"/>
        </w:rPr>
      </w:pPr>
      <w:r>
        <w:rPr>
          <w:rFonts w:ascii="黑体" w:eastAsia="黑体" w:hAnsi="黑体" w:cs="宋体" w:hint="eastAsia"/>
          <w:b/>
          <w:color w:val="0000FF"/>
          <w:kern w:val="0"/>
          <w:sz w:val="24"/>
          <w:szCs w:val="22"/>
          <w:lang w:eastAsia="en-US"/>
        </w:rPr>
        <w:t>（一）指令的核心逻辑</w:t>
      </w:r>
    </w:p>
    <w:p w14:paraId="2930E095">
      <w:pPr>
        <w:widowControl/>
        <w:spacing w:before="240" w:after="80" w:line="360" w:lineRule="auto"/>
        <w:jc w:val="left"/>
        <w:rPr>
          <w:rFonts w:ascii="黑体" w:eastAsia="黑体" w:hAnsi="黑体" w:cs="宋体" w:hint="eastAsia"/>
          <w:b/>
          <w:color w:val="0000FF"/>
          <w:kern w:val="0"/>
          <w:sz w:val="24"/>
          <w:szCs w:val="22"/>
          <w:lang w:eastAsia="en-US"/>
        </w:rPr>
      </w:pPr>
      <w:r>
        <w:rPr>
          <w:rFonts w:ascii="黑体" w:eastAsia="黑体" w:hAnsi="黑体" w:cs="宋体" w:hint="eastAsia"/>
          <w:b/>
          <w:color w:val="0000FF"/>
          <w:kern w:val="0"/>
          <w:sz w:val="24"/>
          <w:szCs w:val="22"/>
          <w:lang w:eastAsia="en-US"/>
        </w:rPr>
        <w:t>【一般条款加行为清单】</w:t>
      </w:r>
    </w:p>
    <w:p w14:paraId="2BDA899B">
      <w:pPr>
        <w:spacing w:line="360" w:lineRule="auto"/>
        <w:ind w:firstLine="420" w:firstLineChars="200"/>
        <w:rPr>
          <w:rFonts w:ascii="宋体" w:eastAsia="宋体" w:hAnsi="宋体" w:cs="宋体" w:hint="eastAsia"/>
          <w:b w:val="0"/>
          <w:bCs w:val="0"/>
          <w:color w:val="0000FF"/>
          <w:sz w:val="22"/>
          <w:szCs w:val="22"/>
        </w:rPr>
      </w:pPr>
      <w:r>
        <w:rPr>
          <w:rFonts w:ascii="黑体" w:eastAsia="黑体" w:hAnsi="黑体" w:hint="eastAsia"/>
          <w:b/>
          <w:color w:val="0000FF"/>
          <w:sz w:val="21"/>
        </w:rPr>
        <w:t>〔概念〕</w:t>
      </w:r>
      <w:r>
        <w:rPr>
          <w:rFonts w:ascii="宋体" w:eastAsia="宋体" w:hAnsi="宋体" w:cs="宋体" w:hint="eastAsia"/>
          <w:b w:val="0"/>
          <w:bCs w:val="0"/>
          <w:color w:val="0000FF"/>
          <w:sz w:val="22"/>
          <w:szCs w:val="22"/>
        </w:rPr>
        <w:t>《不公平商业行为指令》采用的是“一般条款+行为清单”的立法模式。按照指令第五条的规定，商业行为是违反职业谨慎义务、会对一般消费者经济行为造成实质扭曲的商业行为。指令把不公平商业行为分为三类，即误导性商业行为、激进型商业行为和黑名单行为。</w:t>
      </w:r>
    </w:p>
    <w:p w14:paraId="3BF6D5DC"/>
    <w:p w14:paraId="65485C5D"/>
    <w:p w14:paraId="401E9FA4">
      <w:pPr>
        <w:spacing w:line="360" w:lineRule="auto"/>
        <w:ind w:firstLine="420" w:firstLineChars="200"/>
        <w:rPr>
          <w:rFonts w:ascii="宋体" w:eastAsia="宋体" w:hAnsi="宋体" w:cs="宋体" w:hint="eastAsia"/>
          <w:b w:val="0"/>
          <w:bCs w:val="0"/>
          <w:color w:val="0000FF"/>
          <w:sz w:val="22"/>
          <w:szCs w:val="22"/>
        </w:rPr>
      </w:pPr>
      <w:r>
        <w:rPr>
          <w:rFonts w:ascii="黑体" w:eastAsia="黑体" w:hAnsi="黑体" w:hint="eastAsia"/>
          <w:b/>
          <w:color w:val="0000FF"/>
          <w:sz w:val="21"/>
        </w:rPr>
        <w:t>〔风险防范与合规指引〕</w:t>
      </w:r>
      <w:r>
        <w:rPr>
          <w:rFonts w:ascii="宋体" w:eastAsia="宋体" w:hAnsi="宋体" w:cs="宋体" w:hint="eastAsia"/>
          <w:b w:val="0"/>
          <w:bCs w:val="0"/>
          <w:color w:val="0000FF"/>
          <w:sz w:val="22"/>
          <w:szCs w:val="22"/>
        </w:rPr>
        <w:t>不作为型是指商家对消费者的知情决定所必须具备的信息进行省略或者模糊化的处理。指令规定的重要信息是产品主要特性、商家地址及名称、价格、付款方式、送货方式、纠纷解决办法、是否可以撤销交易。2021年生效的修订指令也将在线销售的要求加入到其中，即在线交易商有义务告知消费者搜索结果排名的计算标准，以及对于消费者评论真实性是否进行核查。</w:t>
      </w:r>
    </w:p>
    <w:p w14:paraId="4AC274BC">
      <w:pPr>
        <w:widowControl/>
        <w:spacing w:before="240" w:after="80" w:line="360" w:lineRule="auto"/>
        <w:jc w:val="left"/>
        <w:rPr>
          <w:rFonts w:ascii="黑体" w:eastAsia="黑体" w:hAnsi="黑体" w:cs="宋体" w:hint="eastAsia"/>
          <w:b/>
          <w:color w:val="0000FF"/>
          <w:kern w:val="0"/>
          <w:sz w:val="24"/>
          <w:szCs w:val="22"/>
          <w:lang w:eastAsia="en-US"/>
        </w:rPr>
      </w:pPr>
      <w:r>
        <w:rPr>
          <w:rFonts w:ascii="黑体" w:eastAsia="黑体" w:hAnsi="黑体" w:cs="宋体" w:hint="eastAsia"/>
          <w:b/>
          <w:color w:val="0000FF"/>
          <w:kern w:val="0"/>
          <w:sz w:val="24"/>
          <w:szCs w:val="22"/>
          <w:lang w:eastAsia="en-US"/>
        </w:rPr>
        <w:t>（三）“黑名单”制度与绿色转型新规</w:t>
      </w:r>
    </w:p>
    <w:p w14:paraId="371227D8">
      <w:pPr>
        <w:widowControl/>
        <w:spacing w:before="240" w:after="80" w:line="360" w:lineRule="auto"/>
        <w:jc w:val="left"/>
        <w:rPr>
          <w:rFonts w:ascii="黑体" w:eastAsia="黑体" w:hAnsi="黑体" w:cs="宋体" w:hint="eastAsia"/>
          <w:b/>
          <w:color w:val="0000FF"/>
          <w:kern w:val="0"/>
          <w:sz w:val="24"/>
          <w:szCs w:val="22"/>
          <w:lang w:eastAsia="en-US"/>
        </w:rPr>
      </w:pPr>
      <w:r>
        <w:rPr>
          <w:rFonts w:ascii="黑体" w:eastAsia="黑体" w:hAnsi="黑体" w:cs="宋体" w:hint="eastAsia"/>
          <w:b/>
          <w:color w:val="0000FF"/>
          <w:kern w:val="0"/>
          <w:sz w:val="24"/>
          <w:szCs w:val="22"/>
          <w:lang w:eastAsia="en-US"/>
        </w:rPr>
        <w:t>【黑名单与漂绿禁令】</w:t>
      </w:r>
    </w:p>
    <w:p w14:paraId="22B3738A">
      <w:pPr>
        <w:spacing w:line="360" w:lineRule="auto"/>
        <w:ind w:firstLine="420" w:firstLineChars="200"/>
        <w:rPr>
          <w:rFonts w:ascii="宋体" w:eastAsia="宋体" w:hAnsi="宋体" w:cs="宋体" w:hint="eastAsia"/>
          <w:b w:val="0"/>
          <w:bCs w:val="0"/>
          <w:color w:val="0000FF"/>
          <w:sz w:val="22"/>
          <w:szCs w:val="22"/>
        </w:rPr>
      </w:pPr>
      <w:r>
        <w:rPr>
          <w:rFonts w:ascii="黑体" w:eastAsia="黑体" w:hAnsi="黑体" w:hint="eastAsia"/>
          <w:b/>
          <w:color w:val="0000FF"/>
          <w:sz w:val="21"/>
        </w:rPr>
        <w:t>〔概念〕</w:t>
      </w:r>
      <w:r>
        <w:rPr>
          <w:rFonts w:ascii="宋体" w:eastAsia="宋体" w:hAnsi="宋体" w:cs="宋体" w:hint="eastAsia"/>
          <w:b w:val="0"/>
          <w:bCs w:val="0"/>
          <w:color w:val="0000FF"/>
          <w:sz w:val="22"/>
          <w:szCs w:val="22"/>
        </w:rPr>
        <w:t>指令附件1列出35种“在任何情况下都是不公平”的商业行为统称为“黑名单”。一经查实，就认定为违法行为，不需要对个案进行判断消费者行为是否具有实质性的扭曲。2021年修订后新增加的行为有发布虚假消费者评价、在搜索结果里隐藏广告、转售用自动方法获得的门票。欧盟2024年3月发布Directive(EU)2024/825，对《不公平商业行为指令》进行再次修订，将“漂绿”（误导性的环保宣传）、产品过早报废等行为纳入禁止范围，新规将于2026年9月27日开始实施</w:t>
      </w:r>
      <w:r>
        <w:rPr>
          <w:rStyle w:val="FootnoteReference"/>
          <w:rFonts w:ascii="宋体" w:eastAsia="宋体" w:hAnsi="宋体" w:cs="宋体" w:hint="eastAsia"/>
          <w:b w:val="0"/>
          <w:bCs w:val="0"/>
          <w:color w:val="0000FF"/>
          <w:sz w:val="22"/>
          <w:szCs w:val="22"/>
          <w:highlight w:val="red"/>
        </w:rPr>
        <w:t>[</w:t>
      </w:r>
      <w:r>
        <w:rPr>
          <w:rStyle w:val="FootnoteReference"/>
          <w:rFonts w:ascii="宋体" w:eastAsia="宋体" w:hAnsi="宋体" w:cs="宋体" w:hint="eastAsia"/>
          <w:b w:val="0"/>
          <w:bCs w:val="0"/>
          <w:color w:val="0000FF"/>
          <w:sz w:val="22"/>
          <w:szCs w:val="22"/>
          <w:highlight w:val="red"/>
        </w:rPr>
        <w:footnoteReference w:id="3"/>
      </w:r>
      <w:r>
        <w:rPr>
          <w:rStyle w:val="FootnoteReference"/>
          <w:rFonts w:ascii="宋体" w:eastAsia="宋体" w:hAnsi="宋体" w:cs="宋体" w:hint="eastAsia"/>
          <w:b w:val="0"/>
          <w:bCs w:val="0"/>
          <w:color w:val="0000FF"/>
          <w:sz w:val="22"/>
          <w:szCs w:val="22"/>
          <w:highlight w:val="red"/>
        </w:rPr>
        <w:t>]</w:t>
      </w:r>
      <w:r>
        <w:rPr>
          <w:rFonts w:ascii="宋体" w:eastAsia="宋体" w:hAnsi="宋体" w:cs="宋体" w:hint="eastAsia"/>
          <w:b w:val="0"/>
          <w:bCs w:val="0"/>
          <w:color w:val="0000FF"/>
          <w:sz w:val="22"/>
          <w:szCs w:val="22"/>
        </w:rPr>
        <w:t>。新规则把“基于碳抵消宣称产品所产生温室气体的排放得到中和、减少或者有正面环境效果的行为”列为黑名单，并且规定环保标签只有通过官方认证的才能使用。</w:t>
      </w:r>
    </w:p>
    <w:p w14:paraId="4F8CE20D">
      <w:pPr>
        <w:widowControl/>
        <w:spacing w:before="240" w:after="80" w:line="360" w:lineRule="auto"/>
        <w:jc w:val="left"/>
        <w:rPr>
          <w:rFonts w:ascii="黑体" w:eastAsia="黑体" w:hAnsi="黑体" w:cs="宋体" w:hint="eastAsia"/>
          <w:b/>
          <w:color w:val="0000FF"/>
          <w:kern w:val="0"/>
          <w:sz w:val="24"/>
          <w:szCs w:val="22"/>
          <w:lang w:eastAsia="en-US"/>
        </w:rPr>
      </w:pPr>
      <w:r>
        <w:rPr>
          <w:rFonts w:ascii="黑体" w:eastAsia="黑体" w:hAnsi="黑体" w:cs="宋体" w:hint="eastAsia"/>
          <w:b/>
          <w:color w:val="0000FF"/>
          <w:kern w:val="0"/>
          <w:sz w:val="24"/>
          <w:szCs w:val="22"/>
          <w:lang w:eastAsia="en-US"/>
        </w:rPr>
        <w:t>（四）救济措施与处罚</w:t>
      </w:r>
    </w:p>
    <w:p w14:paraId="624BB7C0">
      <w:pPr>
        <w:widowControl/>
        <w:spacing w:before="240" w:after="80" w:line="360" w:lineRule="auto"/>
        <w:jc w:val="left"/>
        <w:rPr>
          <w:rFonts w:ascii="黑体" w:eastAsia="黑体" w:hAnsi="黑体" w:cs="宋体" w:hint="eastAsia"/>
          <w:b/>
          <w:color w:val="0000FF"/>
          <w:kern w:val="0"/>
          <w:sz w:val="24"/>
          <w:szCs w:val="22"/>
          <w:lang w:eastAsia="en-US"/>
        </w:rPr>
      </w:pPr>
      <w:r>
        <w:rPr>
          <w:rFonts w:ascii="黑体" w:eastAsia="黑体" w:hAnsi="黑体" w:cs="宋体" w:hint="eastAsia"/>
          <w:b/>
          <w:color w:val="0000FF"/>
          <w:kern w:val="0"/>
          <w:sz w:val="24"/>
          <w:szCs w:val="22"/>
          <w:lang w:eastAsia="en-US"/>
        </w:rPr>
        <w:t>【处罚标准与救济权利】</w:t>
      </w:r>
    </w:p>
    <w:p w14:paraId="14657C9A">
      <w:pPr>
        <w:spacing w:line="360" w:lineRule="auto"/>
        <w:ind w:firstLine="420" w:firstLineChars="200"/>
        <w:rPr>
          <w:rFonts w:ascii="宋体" w:eastAsia="宋体" w:hAnsi="宋体" w:cs="宋体" w:hint="eastAsia"/>
          <w:b w:val="0"/>
          <w:bCs w:val="0"/>
          <w:color w:val="0000FF"/>
          <w:sz w:val="22"/>
          <w:szCs w:val="22"/>
        </w:rPr>
      </w:pPr>
      <w:r>
        <w:rPr>
          <w:rFonts w:ascii="黑体" w:eastAsia="黑体" w:hAnsi="黑体" w:hint="eastAsia"/>
          <w:b/>
          <w:color w:val="0000FF"/>
          <w:sz w:val="21"/>
        </w:rPr>
        <w:t>〔概念〕根</w:t>
      </w:r>
      <w:r>
        <w:rPr>
          <w:rFonts w:ascii="宋体" w:eastAsia="宋体" w:hAnsi="宋体" w:cs="宋体" w:hint="eastAsia"/>
          <w:b w:val="0"/>
          <w:bCs w:val="0"/>
          <w:color w:val="0000FF"/>
          <w:sz w:val="22"/>
          <w:szCs w:val="22"/>
        </w:rPr>
        <w:t>据指令的要求，欧盟各国必须保证消费者由于不公平的商业行为而受到损害的时候有个人救济的权利，即赔偿、降价等。成员国还要有有效的、适当的、具有威慑性的处罚手段。对影响几个成员国消费者重大跨境违法行为的罚款最高可以达到被处罚者年营业额的4%或者200万欧元中的较高者。法院或者行政机构对违法广告可以发出撤销或者禁止的命令，但是不需要以证明有实际损失、损害或者疏忽为前提。</w:t>
      </w:r>
    </w:p>
    <w:p w14:paraId="0BCB535F">
      <w:pPr>
        <w:widowControl/>
        <w:spacing w:before="240" w:after="80" w:line="360" w:lineRule="auto"/>
        <w:jc w:val="left"/>
        <w:rPr>
          <w:rFonts w:ascii="黑体" w:eastAsia="黑体" w:hAnsi="黑体" w:cs="宋体" w:hint="eastAsia"/>
          <w:b/>
          <w:color w:val="0000FF"/>
          <w:kern w:val="0"/>
          <w:sz w:val="24"/>
          <w:szCs w:val="22"/>
          <w:lang w:eastAsia="en-US"/>
        </w:rPr>
      </w:pPr>
      <w:r>
        <w:rPr>
          <w:rFonts w:ascii="黑体" w:eastAsia="黑体" w:hAnsi="黑体" w:cs="宋体" w:hint="eastAsia"/>
          <w:b/>
          <w:color w:val="0000FF"/>
          <w:kern w:val="0"/>
          <w:sz w:val="24"/>
          <w:szCs w:val="22"/>
          <w:lang w:eastAsia="en-US"/>
        </w:rPr>
        <w:t>（五）对中国企业的影响</w:t>
      </w:r>
    </w:p>
    <w:p w14:paraId="2B18215E">
      <w:pPr>
        <w:spacing w:line="360" w:lineRule="auto"/>
        <w:ind w:firstLine="420" w:firstLineChars="200"/>
        <w:rPr>
          <w:rFonts w:ascii="宋体" w:eastAsia="宋体" w:hAnsi="宋体" w:cs="宋体" w:hint="eastAsia"/>
          <w:b w:val="0"/>
          <w:bCs w:val="0"/>
          <w:color w:val="0000FF"/>
          <w:sz w:val="22"/>
          <w:szCs w:val="22"/>
        </w:rPr>
      </w:pPr>
      <w:r>
        <w:rPr>
          <w:rFonts w:ascii="黑体" w:eastAsia="黑体" w:hAnsi="黑体" w:hint="eastAsia"/>
          <w:b/>
          <w:color w:val="0000FF"/>
          <w:sz w:val="21"/>
        </w:rPr>
        <w:t>〔合</w:t>
      </w:r>
      <w:r>
        <w:rPr>
          <w:rFonts w:ascii="黑体" w:eastAsia="黑体" w:hAnsi="黑体" w:hint="eastAsia"/>
          <w:b/>
          <w:color w:val="0000FF"/>
          <w:sz w:val="21"/>
          <w:lang w:val="en-US" w:eastAsia="zh-CN"/>
        </w:rPr>
        <w:t>规建议〕</w:t>
      </w:r>
      <w:r>
        <w:rPr>
          <w:rFonts w:ascii="黑体" w:eastAsia="黑体" w:hAnsi="黑体" w:hint="eastAsia"/>
          <w:b/>
          <w:color w:val="0000FF"/>
          <w:sz w:val="21"/>
        </w:rPr>
        <w:t>欧</w:t>
      </w:r>
      <w:r>
        <w:rPr>
          <w:rFonts w:ascii="宋体" w:eastAsia="宋体" w:hAnsi="宋体" w:cs="宋体" w:hint="eastAsia"/>
          <w:b w:val="0"/>
          <w:bCs w:val="0"/>
          <w:color w:val="0000FF"/>
          <w:sz w:val="22"/>
          <w:szCs w:val="22"/>
        </w:rPr>
        <w:t>盟《不公平商业行为指令》对于营销宣传的要求很高，涉及面也很广，只要消费者购买的地点在欧盟境内，就受到指令的保护。中国企业在欧盟开展营销活动的时候，应该注意以下几点，不得使用没有客观依据的“全网最低价”“限时优惠”等宣传用语，必须向消费者提供商品所有信息，对于搜索结果中付费广告或者排名要作出明显的标识，不能发布或者委托发布虚假的消费者评价。2026年新规实行之后，有关环保宣传的用词，比如“碳中和”、“环保”这些内容都要有第三方认证的证明才行。企业产品上市之前应该委托专业的机构对营销文案进行合规审核。</w:t>
      </w:r>
    </w:p>
    <w:p w14:paraId="5EFE2288">
      <w:pPr>
        <w:spacing w:line="360" w:lineRule="auto"/>
        <w:ind w:firstLine="440" w:firstLineChars="200"/>
        <w:rPr>
          <w:rFonts w:ascii="宋体" w:eastAsia="宋体" w:hAnsi="宋体" w:cs="宋体" w:hint="eastAsia"/>
          <w:b w:val="0"/>
          <w:bCs w:val="0"/>
          <w:color w:val="0000FF"/>
          <w:sz w:val="22"/>
          <w:szCs w:val="22"/>
        </w:rPr>
      </w:pPr>
      <w:r>
        <w:rPr>
          <w:rFonts w:ascii="宋体" w:eastAsia="宋体" w:hAnsi="宋体" w:cs="宋体" w:hint="eastAsia"/>
          <w:b w:val="0"/>
          <w:bCs w:val="0"/>
          <w:color w:val="0000FF"/>
          <w:sz w:val="22"/>
          <w:szCs w:val="22"/>
        </w:rPr>
        <w:t>德国是欧盟的成员国，也是欧盟的经济核心国，把欧盟的指令转化为本国法律来执行。该国有全球第一部反不正当竞争法（UWG），采取以“不正当商业行为”为一般条款、保护竞争者和消费者两个目标的立法模式。执法上德国主要是采用私人诉讼的形式，也就是消费者或者竞争对手可以直接向法院提起诉讼，使用比较广泛。2021年修法之后，德国对于竞争对手的起诉资格增加了非微不足道且不是仅偶尔地提供或者要求商品或者服务的门槛，用以阻止滥用警告函，但是门槛设置不是很高的，具体适用还是看个案综合判断；联邦卡特尔局主要处理反垄断案件。中国企业进入德国市场时，不仅要应对政府的行政监管，更需要防范市场同行对企业营销文案发起迅速的法律攻势。</w:t>
      </w:r>
    </w:p>
    <w:p w14:paraId="1CC6D70F">
      <w:pPr>
        <w:widowControl/>
        <w:spacing w:before="240" w:after="80" w:line="360" w:lineRule="auto"/>
        <w:jc w:val="left"/>
        <w:rPr>
          <w:rFonts w:ascii="黑体" w:eastAsia="黑体" w:hAnsi="黑体" w:cs="宋体" w:hint="eastAsia"/>
          <w:b/>
          <w:color w:val="0000FF"/>
          <w:kern w:val="0"/>
          <w:sz w:val="24"/>
          <w:szCs w:val="22"/>
          <w:lang w:eastAsia="en-US"/>
        </w:rPr>
      </w:pPr>
      <w:r>
        <w:rPr>
          <w:rFonts w:ascii="黑体" w:eastAsia="黑体" w:hAnsi="黑体" w:cs="宋体" w:hint="eastAsia"/>
          <w:b/>
          <w:color w:val="0000FF"/>
          <w:kern w:val="0"/>
          <w:sz w:val="24"/>
          <w:szCs w:val="22"/>
          <w:lang w:eastAsia="en-US"/>
        </w:rPr>
        <w:t>（四）对企业的影响</w:t>
      </w:r>
    </w:p>
    <w:p w14:paraId="44B2B05A">
      <w:pPr>
        <w:spacing w:line="360" w:lineRule="auto"/>
        <w:ind w:firstLine="420" w:firstLineChars="200"/>
        <w:rPr>
          <w:rFonts w:ascii="宋体" w:eastAsia="宋体" w:hAnsi="宋体" w:cs="宋体" w:hint="eastAsia"/>
          <w:b w:val="0"/>
          <w:bCs w:val="0"/>
          <w:color w:val="0000FF"/>
          <w:sz w:val="22"/>
          <w:szCs w:val="22"/>
        </w:rPr>
      </w:pPr>
      <w:r>
        <w:rPr>
          <w:rFonts w:ascii="黑体" w:eastAsia="黑体" w:hAnsi="黑体" w:hint="eastAsia"/>
          <w:b/>
          <w:color w:val="0000FF"/>
          <w:sz w:val="21"/>
        </w:rPr>
        <w:t>〔合</w:t>
      </w:r>
      <w:r>
        <w:rPr>
          <w:rFonts w:ascii="黑体" w:eastAsia="黑体" w:hAnsi="黑体" w:hint="eastAsia"/>
          <w:b/>
          <w:color w:val="0000FF"/>
          <w:sz w:val="21"/>
          <w:lang w:val="en-US" w:eastAsia="zh-CN"/>
        </w:rPr>
        <w:t>规建议〕</w:t>
      </w:r>
      <w:r>
        <w:rPr>
          <w:rFonts w:ascii="黑体" w:eastAsia="黑体" w:hAnsi="黑体" w:hint="eastAsia"/>
          <w:b/>
          <w:color w:val="0000FF"/>
          <w:sz w:val="21"/>
        </w:rPr>
        <w:t>企</w:t>
      </w:r>
      <w:r>
        <w:rPr>
          <w:rFonts w:ascii="宋体" w:eastAsia="宋体" w:hAnsi="宋体" w:cs="宋体" w:hint="eastAsia"/>
          <w:b w:val="0"/>
          <w:bCs w:val="0"/>
          <w:color w:val="0000FF"/>
          <w:sz w:val="22"/>
          <w:szCs w:val="22"/>
        </w:rPr>
        <w:t>业在中国日本经营时要注意的是产品的产地标注信息必须真实、准确，不得使用误导消费者的产地标识，不能模仿三年内已经上市的产品独特形态，商业秘密的保护要有完整的保密制度并和员工签订保密协议。对技术型企业来说，尤其要重视在日技术型企业商业秘密管理失当，可能会给民事赔偿或者刑事责任带来隐患。日本在2023年对数字空间的保护进行了进一步加强，在数字空间里制作、模仿他人的产品形态的行为也受到限制，电商企业经营在日本市场时要特别留意。</w:t>
      </w:r>
    </w:p>
    <w:p w14:paraId="54817781"/>
    <w:p w14:paraId="6588B6E4"/>
    <w:p w14:paraId="37B5C347">
      <w:pPr>
        <w:widowControl/>
        <w:spacing w:before="240" w:after="80" w:line="360" w:lineRule="auto"/>
        <w:jc w:val="left"/>
        <w:rPr>
          <w:rFonts w:ascii="黑体" w:eastAsia="黑体" w:hAnsi="黑体" w:cs="宋体" w:hint="eastAsia"/>
          <w:b/>
          <w:color w:val="0000FF"/>
          <w:kern w:val="0"/>
          <w:sz w:val="24"/>
          <w:szCs w:val="22"/>
          <w:lang w:val="en-US" w:eastAsia="zh-CN"/>
        </w:rPr>
      </w:pPr>
      <w:r>
        <w:rPr>
          <w:rFonts w:ascii="黑体" w:eastAsia="黑体" w:hAnsi="黑体" w:cs="宋体" w:hint="eastAsia"/>
          <w:b/>
          <w:color w:val="0000FF"/>
          <w:kern w:val="0"/>
          <w:sz w:val="24"/>
          <w:szCs w:val="22"/>
          <w:lang w:val="en-US" w:eastAsia="zh-CN"/>
        </w:rPr>
        <w:t>（四）印度：执法趋严与中企风险</w:t>
      </w:r>
    </w:p>
    <w:p w14:paraId="4CD36615">
      <w:pPr>
        <w:spacing w:line="360" w:lineRule="auto"/>
        <w:ind w:firstLine="420" w:firstLineChars="200"/>
        <w:rPr>
          <w:rFonts w:ascii="宋体" w:eastAsia="宋体" w:hAnsi="宋体" w:cs="宋体" w:hint="eastAsia"/>
          <w:b w:val="0"/>
          <w:bCs w:val="0"/>
          <w:color w:val="0000FF"/>
          <w:sz w:val="22"/>
          <w:szCs w:val="22"/>
          <w:lang w:val="en-US" w:eastAsia="zh-CN"/>
        </w:rPr>
      </w:pPr>
      <w:r>
        <w:rPr>
          <w:rFonts w:ascii="黑体" w:eastAsia="黑体" w:hAnsi="黑体" w:hint="eastAsia"/>
          <w:b/>
          <w:color w:val="0000FF"/>
          <w:sz w:val="21"/>
        </w:rPr>
        <w:t>〔概念〕印</w:t>
      </w:r>
      <w:r>
        <w:rPr>
          <w:rFonts w:ascii="宋体" w:eastAsia="宋体" w:hAnsi="宋体" w:cs="宋体" w:hint="eastAsia"/>
          <w:b w:val="0"/>
          <w:bCs w:val="0"/>
          <w:color w:val="0000FF"/>
          <w:sz w:val="22"/>
          <w:szCs w:val="22"/>
          <w:lang w:val="en-US" w:eastAsia="zh-CN"/>
        </w:rPr>
        <w:t>度近些年加快完善竞争法。2023年印度修订《竞争法》规定了并购交易价值门槛（目标公司在中国有“实质性业务经营”，交易额超过2000亿卢比的并购交易要申报），处罚可按全球营业额来算。2024年推行“宽大+”，对卡特尔主动报告予以鼓励。</w:t>
      </w:r>
    </w:p>
    <w:p w14:paraId="21E01B09">
      <w:pPr>
        <w:spacing w:line="360" w:lineRule="auto"/>
        <w:ind w:firstLine="440" w:firstLineChars="200"/>
        <w:rPr>
          <w:rFonts w:ascii="宋体" w:eastAsia="宋体" w:hAnsi="宋体" w:cs="宋体" w:hint="eastAsia"/>
          <w:b w:val="0"/>
          <w:bCs w:val="0"/>
          <w:color w:val="0000FF"/>
          <w:sz w:val="22"/>
          <w:szCs w:val="22"/>
          <w:lang w:val="en-US" w:eastAsia="zh-CN"/>
        </w:rPr>
      </w:pPr>
      <w:r>
        <w:rPr>
          <w:rFonts w:ascii="宋体" w:eastAsia="宋体" w:hAnsi="宋体" w:cs="宋体" w:hint="eastAsia"/>
          <w:b w:val="0"/>
          <w:bCs w:val="0"/>
          <w:color w:val="0000FF"/>
          <w:sz w:val="22"/>
          <w:szCs w:val="22"/>
          <w:lang w:val="en-US" w:eastAsia="zh-CN"/>
        </w:rPr>
        <w:t>涉华执法最严重。2025年9-11月印度对原产于中国的玻璃纤维、太阳能电池等20余种产品征收反倾销税或者反补贴税。小米48亿资金被冻结，比亚迪建厂计划被推迟，部分中企也采取“风险隔离”的方式减少对印可控资产的投入。我国于2025年10月就印度电动汽车及电池补贴措施向WTO提起磋商请求。</w:t>
      </w:r>
    </w:p>
    <w:p w14:paraId="251B6955">
      <w:pPr>
        <w:widowControl/>
        <w:spacing w:before="240" w:after="80" w:line="360" w:lineRule="auto"/>
        <w:jc w:val="left"/>
        <w:rPr>
          <w:rFonts w:ascii="黑体" w:eastAsia="黑体" w:hAnsi="黑体" w:cs="宋体" w:hint="eastAsia"/>
          <w:b/>
          <w:color w:val="0000FF"/>
          <w:kern w:val="0"/>
          <w:sz w:val="24"/>
          <w:szCs w:val="22"/>
          <w:lang w:eastAsia="en-US"/>
        </w:rPr>
      </w:pPr>
      <w:r>
        <w:rPr>
          <w:rFonts w:ascii="黑体" w:eastAsia="黑体" w:hAnsi="黑体" w:cs="宋体" w:hint="eastAsia"/>
          <w:b/>
          <w:color w:val="0000FF"/>
          <w:kern w:val="0"/>
          <w:sz w:val="24"/>
          <w:szCs w:val="22"/>
          <w:lang w:eastAsia="en-US"/>
        </w:rPr>
        <w:t>（</w:t>
      </w:r>
      <w:r>
        <w:rPr>
          <w:rFonts w:ascii="黑体" w:eastAsia="黑体" w:hAnsi="黑体" w:cs="宋体" w:hint="eastAsia"/>
          <w:b/>
          <w:color w:val="0000FF"/>
          <w:kern w:val="0"/>
          <w:sz w:val="24"/>
          <w:szCs w:val="22"/>
          <w:lang w:val="en-US" w:eastAsia="zh-CN"/>
        </w:rPr>
        <w:t>五</w:t>
      </w:r>
      <w:r>
        <w:rPr>
          <w:rFonts w:ascii="黑体" w:eastAsia="黑体" w:hAnsi="黑体" w:cs="宋体" w:hint="eastAsia"/>
          <w:b/>
          <w:color w:val="0000FF"/>
          <w:kern w:val="0"/>
          <w:sz w:val="24"/>
          <w:szCs w:val="22"/>
          <w:lang w:eastAsia="en-US"/>
        </w:rPr>
        <w:t>）对企业的影响</w:t>
      </w:r>
    </w:p>
    <w:p w14:paraId="538DF7FF">
      <w:pPr>
        <w:rPr>
          <w:rFonts w:ascii="宋体" w:eastAsia="宋体" w:hAnsi="宋体" w:cs="宋体" w:hint="eastAsia"/>
          <w:b w:val="0"/>
          <w:bCs w:val="0"/>
          <w:color w:val="0000FF"/>
          <w:sz w:val="22"/>
          <w:szCs w:val="22"/>
          <w:lang w:val="en-US" w:eastAsia="zh-CN"/>
        </w:rPr>
      </w:pPr>
      <w:r>
        <w:rPr>
          <w:rFonts w:ascii="黑体" w:eastAsia="黑体" w:hAnsi="黑体" w:hint="eastAsia"/>
          <w:b/>
          <w:color w:val="0000FF"/>
          <w:sz w:val="21"/>
        </w:rPr>
        <w:t>〔</w:t>
      </w:r>
      <w:r>
        <w:rPr>
          <w:rFonts w:ascii="黑体" w:eastAsia="黑体" w:hAnsi="黑体" w:hint="eastAsia"/>
          <w:b/>
          <w:color w:val="0000FF"/>
          <w:sz w:val="21"/>
          <w:lang w:val="en-US" w:eastAsia="zh-CN"/>
        </w:rPr>
        <w:t>合规建议</w:t>
      </w:r>
      <w:r>
        <w:rPr>
          <w:rFonts w:ascii="黑体" w:eastAsia="黑体" w:hAnsi="黑体" w:hint="eastAsia"/>
          <w:b/>
          <w:color w:val="0000FF"/>
          <w:sz w:val="21"/>
        </w:rPr>
        <w:t>〕</w:t>
      </w:r>
      <w:r>
        <w:rPr>
          <w:rFonts w:ascii="宋体" w:eastAsia="宋体" w:hAnsi="宋体" w:cs="宋体" w:hint="eastAsia"/>
          <w:b w:val="0"/>
          <w:bCs w:val="0"/>
          <w:color w:val="0000FF"/>
          <w:sz w:val="22"/>
          <w:szCs w:val="22"/>
        </w:rPr>
        <w:t>东南亚反不正当竞争执法力度不断增大，不同行业的各个地区的规则也有所不同。中国企业到东南亚开展业务时要注意招投标过程的合规管理，不得有串通投标的行为；产品促销、广告宣传的真实性、准确性；并购交易中经营者集中申报义务的履行。区域监管机构正在严厉打击竞争违规及消费者保护违规行为，要求企业对竞争和消费者保护合规框架进行自我审查、加强，对高危领域（信息交换、采购行为、平台运营、数字营销、广告声明等）采取有针对性的审计措施，对员工开展合规培训。企业应该根据拟进入市场的具体国家展开逐国合规评价，不能将某个国家的合规经验直接套用到其他东南亚国家。中企</w:t>
      </w:r>
      <w:r>
        <w:rPr>
          <w:rFonts w:ascii="宋体" w:eastAsia="宋体" w:hAnsi="宋体" w:cs="宋体" w:hint="eastAsia"/>
          <w:b w:val="0"/>
          <w:bCs w:val="0"/>
          <w:color w:val="0000FF"/>
          <w:sz w:val="22"/>
          <w:szCs w:val="22"/>
          <w:lang w:val="en-US" w:eastAsia="zh-CN"/>
        </w:rPr>
        <w:t>进入印度时要注意并购申报是否触及新的门槛，积极应对反倾销调查，谨慎考虑政策风险，控制重资产投资。</w:t>
      </w:r>
    </w:p>
    <w:p w14:paraId="00A30AEE">
      <w:pPr>
        <w:rPr>
          <w:rFonts w:ascii="宋体" w:eastAsia="宋体" w:hAnsi="宋体" w:cs="宋体" w:hint="eastAsia"/>
          <w:b w:val="0"/>
          <w:bCs w:val="0"/>
          <w:color w:val="0000FF"/>
          <w:sz w:val="22"/>
          <w:szCs w:val="22"/>
          <w:lang w:val="en-US" w:eastAsia="zh-CN"/>
        </w:rPr>
      </w:pPr>
    </w:p>
    <w:p w14:paraId="31B1B28C">
      <w:pPr>
        <w:rPr>
          <w:rFonts w:ascii="宋体" w:eastAsia="宋体" w:hAnsi="宋体" w:cs="宋体" w:hint="eastAsia"/>
          <w:b w:val="0"/>
          <w:bCs w:val="0"/>
          <w:color w:val="0000FF"/>
          <w:sz w:val="22"/>
          <w:szCs w:val="22"/>
          <w:lang w:val="en-US" w:eastAsia="zh-CN"/>
        </w:rPr>
      </w:pPr>
    </w:p>
    <w:p w14:paraId="65A382E4">
      <w:pPr>
        <w:spacing w:before="240" w:after="80" w:line="360" w:lineRule="auto"/>
        <w:rPr>
          <w:rFonts w:ascii="宋体" w:eastAsia="宋体" w:hAnsi="宋体" w:cs="宋体" w:hint="eastAsia"/>
          <w:b w:val="0"/>
          <w:bCs w:val="0"/>
          <w:color w:val="0000FF"/>
          <w:sz w:val="22"/>
          <w:szCs w:val="22"/>
        </w:rPr>
      </w:pPr>
      <w:r>
        <w:rPr>
          <w:rFonts w:ascii="黑体" w:eastAsia="黑体" w:hAnsi="黑体" w:hint="eastAsia"/>
          <w:b/>
          <w:color w:val="0000FF"/>
          <w:sz w:val="24"/>
        </w:rPr>
        <w:t>【</w:t>
      </w:r>
      <w:r>
        <w:rPr>
          <w:rFonts w:ascii="黑体" w:eastAsia="黑体" w:hAnsi="黑体" w:hint="eastAsia"/>
          <w:b/>
          <w:color w:val="0000FF"/>
          <w:sz w:val="24"/>
          <w:lang w:val="en-US" w:eastAsia="zh-CN"/>
        </w:rPr>
        <w:t>本节案例</w:t>
      </w:r>
      <w:r>
        <w:rPr>
          <w:rFonts w:ascii="黑体" w:eastAsia="黑体" w:hAnsi="黑体" w:hint="eastAsia"/>
          <w:b/>
          <w:color w:val="0000FF"/>
          <w:sz w:val="24"/>
        </w:rPr>
        <w:t>】</w:t>
      </w:r>
    </w:p>
    <w:p w14:paraId="6037DF36">
      <w:pPr>
        <w:spacing w:line="360" w:lineRule="auto"/>
        <w:ind w:firstLine="480" w:firstLineChars="200"/>
        <w:rPr>
          <w:rFonts w:ascii="宋体" w:eastAsia="宋体" w:hAnsi="宋体" w:cs="宋体" w:hint="eastAsia"/>
          <w:b w:val="0"/>
          <w:bCs w:val="0"/>
          <w:color w:val="0000FF"/>
          <w:sz w:val="22"/>
          <w:szCs w:val="22"/>
        </w:rPr>
      </w:pPr>
      <w:r>
        <w:rPr>
          <w:rFonts w:ascii="黑体" w:eastAsia="黑体" w:hAnsi="宋体" w:cs="黑体" w:hint="eastAsia"/>
          <w:b/>
          <w:bCs/>
          <w:i w:val="0"/>
          <w:iCs w:val="0"/>
          <w:color w:val="0000FF"/>
          <w:spacing w:val="0"/>
          <w:w w:val="100"/>
          <w:kern w:val="0"/>
          <w:sz w:val="24"/>
          <w:szCs w:val="24"/>
          <w:vertAlign w:val="baseline"/>
          <w:lang w:val="en-US" w:eastAsia="zh-CN" w:bidi="ar"/>
        </w:rPr>
        <w:t>欧盟转售价格维持处罚案中Gucci、Chloé、Loewe的罚金总和超过1.57亿欧元。</w:t>
      </w:r>
    </w:p>
    <w:p w14:paraId="356D0C01">
      <w:pPr>
        <w:spacing w:line="360" w:lineRule="auto"/>
        <w:ind w:firstLine="420" w:firstLineChars="200"/>
        <w:rPr>
          <w:rFonts w:ascii="宋体" w:eastAsia="宋体" w:hAnsi="宋体" w:cs="宋体" w:hint="eastAsia"/>
          <w:b w:val="0"/>
          <w:bCs w:val="0"/>
          <w:color w:val="0000FF"/>
          <w:sz w:val="22"/>
          <w:szCs w:val="22"/>
        </w:rPr>
      </w:pPr>
      <w:r>
        <w:rPr>
          <w:rFonts w:ascii="宋体" w:eastAsia="宋体" w:hAnsi="宋体" w:cs="宋体" w:hint="eastAsia"/>
          <w:b w:val="0"/>
          <w:bCs w:val="0"/>
          <w:i w:val="0"/>
          <w:iCs w:val="0"/>
          <w:color w:val="0000FF"/>
          <w:spacing w:val="0"/>
          <w:w w:val="100"/>
          <w:kern w:val="0"/>
          <w:sz w:val="21"/>
          <w:szCs w:val="21"/>
          <w:vertAlign w:val="baseline"/>
          <w:lang w:val="en-US" w:eastAsia="zh-CN" w:bidi="ar"/>
        </w:rPr>
        <w:t>（欧盟委员会竞争执法决定，2025年10月）</w:t>
      </w:r>
    </w:p>
    <w:p w14:paraId="674D63C1">
      <w:pPr>
        <w:pStyle w:val="NormalWeb"/>
        <w:keepNext w:val="0"/>
        <w:keepLines w:val="0"/>
        <w:widowControl/>
        <w:suppressLineNumbers w:val="0"/>
        <w:spacing w:before="200" w:beforeAutospacing="0" w:after="80" w:afterAutospacing="0" w:line="18" w:lineRule="atLeast"/>
        <w:ind w:left="0" w:right="0"/>
        <w:jc w:val="both"/>
        <w:rPr>
          <w:rFonts w:ascii="楷体" w:eastAsia="楷体" w:hAnsi="楷体" w:cs="楷体" w:hint="eastAsia"/>
          <w:color w:val="0000FF"/>
        </w:rPr>
      </w:pPr>
      <w:r>
        <w:rPr>
          <w:rFonts w:ascii="楷体" w:eastAsia="楷体" w:hAnsi="楷体" w:cs="楷体" w:hint="eastAsia"/>
          <w:b/>
          <w:bCs/>
          <w:i w:val="0"/>
          <w:iCs w:val="0"/>
          <w:color w:val="0000FF"/>
          <w:spacing w:val="0"/>
          <w:w w:val="100"/>
          <w:sz w:val="24"/>
          <w:szCs w:val="24"/>
          <w:vertAlign w:val="baseline"/>
        </w:rPr>
        <w:t>案件概要</w:t>
      </w:r>
    </w:p>
    <w:p w14:paraId="152DDB72">
      <w:pPr>
        <w:spacing w:line="360" w:lineRule="auto"/>
        <w:ind w:firstLine="440" w:firstLineChars="200"/>
        <w:rPr>
          <w:rFonts w:ascii="宋体" w:eastAsia="宋体" w:hAnsi="宋体" w:cs="宋体" w:hint="eastAsia"/>
          <w:b w:val="0"/>
          <w:bCs w:val="0"/>
          <w:color w:val="0000FF"/>
          <w:sz w:val="22"/>
          <w:szCs w:val="22"/>
        </w:rPr>
      </w:pPr>
      <w:r>
        <w:rPr>
          <w:rFonts w:ascii="宋体" w:eastAsia="宋体" w:hAnsi="宋体" w:cs="宋体" w:hint="eastAsia"/>
          <w:b w:val="0"/>
          <w:bCs w:val="0"/>
          <w:color w:val="0000FF"/>
          <w:sz w:val="22"/>
          <w:szCs w:val="22"/>
        </w:rPr>
        <w:t>2025年10月欧盟委员会对意大利的Gucci、法国的Chloé、西班牙的Loewe三家奢侈时尚品牌进行了处罚，认为这三家奢侈时尚品牌</w:t>
      </w:r>
      <w:bookmarkStart w:id="0" w:name="_GoBack"/>
      <w:bookmarkEnd w:id="0"/>
      <w:r>
        <w:rPr>
          <w:rFonts w:ascii="宋体" w:eastAsia="宋体" w:hAnsi="宋体" w:cs="宋体" w:hint="eastAsia"/>
          <w:b w:val="0"/>
          <w:bCs w:val="0"/>
          <w:color w:val="0000FF"/>
          <w:sz w:val="22"/>
          <w:szCs w:val="22"/>
        </w:rPr>
        <w:t>通过转售价格维持（RPM）的方式违反了欧盟竞争法的规定，总共被罚超过1.57亿欧元。经过调查发现，三家公司均采取价格监控、违规跟进的手段迫使独立零售商不得违背其建议零售价、最高折扣率、特定促销期的规定，甚至不准独立零售商做任何折扣，违法行为一直持续到欧盟2023年4月的现场检查为止。</w:t>
      </w:r>
    </w:p>
    <w:p w14:paraId="0A7A2C1E">
      <w:pPr>
        <w:pStyle w:val="NormalWeb"/>
        <w:keepNext w:val="0"/>
        <w:keepLines w:val="0"/>
        <w:widowControl/>
        <w:suppressLineNumbers w:val="0"/>
        <w:spacing w:before="200" w:beforeAutospacing="0" w:after="80" w:afterAutospacing="0" w:line="18" w:lineRule="atLeast"/>
        <w:ind w:left="0" w:right="0"/>
        <w:jc w:val="both"/>
        <w:rPr>
          <w:rFonts w:ascii="宋体" w:eastAsia="宋体" w:hAnsi="宋体" w:cs="宋体" w:hint="eastAsia"/>
          <w:b w:val="0"/>
          <w:bCs w:val="0"/>
          <w:color w:val="0000FF"/>
          <w:sz w:val="22"/>
          <w:szCs w:val="22"/>
        </w:rPr>
      </w:pPr>
      <w:r>
        <w:rPr>
          <w:rFonts w:ascii="楷体" w:eastAsia="楷体" w:hAnsi="楷体" w:cs="楷体" w:hint="eastAsia"/>
          <w:b/>
          <w:bCs/>
          <w:i w:val="0"/>
          <w:iCs w:val="0"/>
          <w:color w:val="0000FF"/>
          <w:spacing w:val="0"/>
          <w:w w:val="100"/>
          <w:sz w:val="24"/>
          <w:szCs w:val="24"/>
          <w:vertAlign w:val="baseline"/>
          <w:lang w:val="en-US" w:eastAsia="zh-CN"/>
        </w:rPr>
        <w:t>裁</w:t>
      </w:r>
      <w:r>
        <w:rPr>
          <w:rFonts w:ascii="楷体" w:eastAsia="楷体" w:hAnsi="楷体" w:cs="楷体" w:hint="eastAsia"/>
          <w:b/>
          <w:bCs/>
          <w:i w:val="0"/>
          <w:iCs w:val="0"/>
          <w:color w:val="0000FF"/>
          <w:spacing w:val="0"/>
          <w:w w:val="100"/>
          <w:sz w:val="24"/>
          <w:szCs w:val="24"/>
          <w:vertAlign w:val="baseline"/>
        </w:rPr>
        <w:t>判分析</w:t>
      </w:r>
    </w:p>
    <w:p w14:paraId="26D4D8A4">
      <w:pPr>
        <w:spacing w:line="360" w:lineRule="auto"/>
        <w:ind w:firstLine="440" w:firstLineChars="200"/>
        <w:rPr>
          <w:rFonts w:ascii="宋体" w:eastAsia="宋体" w:hAnsi="宋体" w:cs="宋体" w:hint="eastAsia"/>
          <w:b w:val="0"/>
          <w:bCs w:val="0"/>
          <w:color w:val="0000FF"/>
          <w:sz w:val="22"/>
          <w:szCs w:val="22"/>
        </w:rPr>
      </w:pPr>
      <w:r>
        <w:rPr>
          <w:rFonts w:ascii="宋体" w:eastAsia="宋体" w:hAnsi="宋体" w:cs="宋体" w:hint="eastAsia"/>
          <w:b w:val="0"/>
          <w:bCs w:val="0"/>
          <w:color w:val="0000FF"/>
          <w:sz w:val="22"/>
          <w:szCs w:val="22"/>
        </w:rPr>
        <w:t>欧盟委员会认为，这三种行为属于欧盟运行条约第101条、欧洲经济区协定第53条所禁止的反竞争协议，即成员国之间有影响的任何企业之间的协议，都会对成员国之间的贸易造成影响，扰乱或扭曲成员国间的市场竞争。三个公司以剥夺零售商定价的自由以及削弱零售商之间的竞争为手段，目的是保护自身渠道不受零售商的竞争影响，使消费者面对更高的价格以及更少的选择。</w:t>
      </w:r>
    </w:p>
    <w:p w14:paraId="6103276C">
      <w:pPr>
        <w:pStyle w:val="NormalWeb"/>
        <w:keepNext w:val="0"/>
        <w:keepLines w:val="0"/>
        <w:widowControl/>
        <w:suppressLineNumbers w:val="0"/>
        <w:spacing w:before="200" w:beforeAutospacing="0" w:after="80" w:afterAutospacing="0" w:line="18" w:lineRule="atLeast"/>
        <w:ind w:left="0" w:right="0"/>
        <w:jc w:val="both"/>
        <w:rPr>
          <w:rFonts w:ascii="楷体" w:eastAsia="楷体" w:hAnsi="楷体" w:cs="楷体" w:hint="eastAsia"/>
          <w:b/>
          <w:bCs/>
          <w:i w:val="0"/>
          <w:iCs w:val="0"/>
          <w:color w:val="0000FF"/>
          <w:spacing w:val="0"/>
          <w:w w:val="100"/>
          <w:sz w:val="24"/>
          <w:szCs w:val="24"/>
          <w:vertAlign w:val="baseline"/>
          <w:lang w:val="en-US" w:eastAsia="zh-CN"/>
        </w:rPr>
      </w:pPr>
      <w:r>
        <w:rPr>
          <w:rFonts w:ascii="楷体" w:eastAsia="楷体" w:hAnsi="楷体" w:cs="楷体" w:hint="eastAsia"/>
          <w:b/>
          <w:bCs/>
          <w:i w:val="0"/>
          <w:iCs w:val="0"/>
          <w:color w:val="0000FF"/>
          <w:spacing w:val="0"/>
          <w:w w:val="100"/>
          <w:sz w:val="24"/>
          <w:szCs w:val="24"/>
          <w:vertAlign w:val="baseline"/>
          <w:lang w:val="en-US" w:eastAsia="zh-CN"/>
        </w:rPr>
        <w:t>合规建议</w:t>
      </w:r>
    </w:p>
    <w:p w14:paraId="2E0F6CDF">
      <w:pPr>
        <w:spacing w:line="360" w:lineRule="auto"/>
        <w:ind w:firstLine="440" w:firstLineChars="200"/>
        <w:rPr>
          <w:rFonts w:ascii="宋体" w:eastAsia="宋体" w:hAnsi="宋体" w:cs="宋体" w:hint="eastAsia"/>
          <w:b w:val="0"/>
          <w:bCs w:val="0"/>
          <w:color w:val="0000FF"/>
          <w:sz w:val="22"/>
          <w:szCs w:val="22"/>
        </w:rPr>
      </w:pPr>
      <w:r>
        <w:rPr>
          <w:rFonts w:ascii="宋体" w:eastAsia="宋体" w:hAnsi="宋体" w:cs="宋体" w:hint="eastAsia"/>
          <w:b w:val="0"/>
          <w:bCs w:val="0"/>
          <w:color w:val="0000FF"/>
          <w:sz w:val="22"/>
          <w:szCs w:val="22"/>
        </w:rPr>
        <w:t>本案表明转售价格维持是欧盟执法的重点查处领域，不单是大型企业会被查处，高端的时尚品牌也会被查处。中国企业在欧盟进行“走出去”战略的时候，对于经销商协议中价格建议、折扣上限、促销时长以及价格监测等各方面的条款都要进行全面的审查，保证经销商有独立的定价权。企业要委派专业机构对分销协议进行竞争法合规审核，不能把国内市场的渠道管理方式照搬过来到欧盟。</w:t>
      </w:r>
    </w:p>
    <w:p w14:paraId="030E19BB">
      <w:pPr>
        <w:widowControl/>
        <w:spacing w:before="240" w:after="80" w:line="360" w:lineRule="auto"/>
        <w:jc w:val="left"/>
        <w:rPr>
          <w:rFonts w:ascii="黑体" w:eastAsia="黑体" w:hAnsi="黑体" w:cs="宋体" w:hint="eastAsia"/>
          <w:b/>
          <w:color w:val="0000FF"/>
          <w:kern w:val="0"/>
          <w:sz w:val="24"/>
          <w:szCs w:val="22"/>
          <w:lang w:eastAsia="en-US"/>
        </w:rPr>
      </w:pPr>
      <w:r>
        <w:rPr>
          <w:rFonts w:ascii="黑体" w:eastAsia="黑体" w:hAnsi="黑体" w:cs="宋体" w:hint="eastAsia"/>
          <w:b/>
          <w:color w:val="0000FF"/>
          <w:kern w:val="0"/>
          <w:sz w:val="24"/>
          <w:szCs w:val="22"/>
          <w:lang w:eastAsia="en-US"/>
        </w:rPr>
        <w:t>本章小结</w:t>
      </w:r>
    </w:p>
    <w:p w14:paraId="77C4DAD2">
      <w:pPr>
        <w:spacing w:line="360" w:lineRule="auto"/>
        <w:ind w:firstLine="440" w:firstLineChars="200"/>
        <w:rPr>
          <w:rFonts w:ascii="宋体" w:eastAsia="宋体" w:hAnsi="宋体" w:cs="宋体" w:hint="eastAsia"/>
          <w:b w:val="0"/>
          <w:bCs w:val="0"/>
          <w:color w:val="0000FF"/>
          <w:sz w:val="22"/>
          <w:szCs w:val="22"/>
        </w:rPr>
      </w:pPr>
      <w:r>
        <w:rPr>
          <w:rFonts w:ascii="宋体" w:eastAsia="宋体" w:hAnsi="宋体" w:cs="宋体" w:hint="eastAsia"/>
          <w:b w:val="0"/>
          <w:bCs w:val="0"/>
          <w:color w:val="0000FF"/>
          <w:sz w:val="22"/>
          <w:szCs w:val="22"/>
        </w:rPr>
        <w:t>纵观美国、欧盟、日本以及东南亚这四个区域的反不正当竞争法规可知，反不正当竞争法规的发展呈现如下趋势，即执法力度越来越大、合规要求也越来越严格，营销宣传、定价政策、商业秘密保护成了各地区共同的高风险领域，部分法域比如美国各州之间、东南亚各国之间内部规则差别较大，不能简单的套用一个模板。中国企业在出海时要依据所处市场的具体法律要求建立属地化的合规审查机制，把风险防控前置到业务规划之前。</w:t>
      </w:r>
    </w:p>
    <w:p w14:paraId="69B1F74D">
      <w:pPr>
        <w:rPr>
          <w:rFonts w:ascii="宋体" w:eastAsia="宋体" w:hAnsi="宋体" w:cs="宋体" w:hint="eastAsia"/>
          <w:b w:val="0"/>
          <w:bCs w:val="0"/>
          <w:color w:val="0000FF"/>
          <w:sz w:val="22"/>
          <w:szCs w:val="22"/>
          <w:lang w:val="en-US" w:eastAsia="zh-CN"/>
        </w:rPr>
      </w:pPr>
    </w:p>
    <w:p w14:paraId="03F224E3">
      <w:pPr>
        <w:rPr>
          <w:rFonts w:ascii="宋体" w:eastAsia="宋体" w:hAnsi="宋体" w:cs="宋体" w:hint="eastAsia"/>
          <w:b w:val="0"/>
          <w:bCs w:val="0"/>
          <w:color w:val="0000FF"/>
          <w:sz w:val="22"/>
          <w:szCs w:val="22"/>
          <w:lang w:val="en-US" w:eastAsia="zh-CN"/>
        </w:rPr>
      </w:pPr>
    </w:p>
    <w:p w14:paraId="35099A86">
      <w:pPr>
        <w:rPr>
          <w:rFonts w:ascii="宋体" w:eastAsia="宋体" w:hAnsi="宋体" w:cs="宋体" w:hint="eastAsia"/>
          <w:b w:val="0"/>
          <w:bCs w:val="0"/>
          <w:color w:val="0000FF"/>
          <w:sz w:val="22"/>
          <w:szCs w:val="22"/>
          <w:lang w:val="en-US" w:eastAsia="zh-CN"/>
        </w:rPr>
      </w:pPr>
    </w:p>
    <w:p w14:paraId="2C1766DF">
      <w:pPr>
        <w:widowControl/>
        <w:spacing w:before="240" w:after="120" w:line="360" w:lineRule="auto"/>
        <w:jc w:val="left"/>
        <w:rPr>
          <w:rFonts w:ascii="黑体" w:eastAsia="黑体" w:hAnsi="黑体" w:cs="宋体" w:hint="eastAsia"/>
          <w:b/>
          <w:color w:val="0000FF"/>
          <w:kern w:val="0"/>
          <w:sz w:val="26"/>
          <w:szCs w:val="22"/>
          <w:lang w:eastAsia="en-US"/>
        </w:rPr>
      </w:pPr>
      <w:r>
        <w:rPr>
          <w:rFonts w:ascii="黑体" w:eastAsia="黑体" w:hAnsi="黑体" w:cs="宋体" w:hint="eastAsia"/>
          <w:b/>
          <w:color w:val="0000FF"/>
          <w:kern w:val="0"/>
          <w:sz w:val="26"/>
          <w:szCs w:val="22"/>
          <w:lang w:eastAsia="en-US"/>
        </w:rPr>
        <w:t>一、经营者集中申报的基础概念</w:t>
      </w:r>
    </w:p>
    <w:p w14:paraId="28981227">
      <w:pPr>
        <w:spacing w:line="360" w:lineRule="auto"/>
        <w:ind w:firstLine="440" w:firstLineChars="200"/>
        <w:rPr>
          <w:rFonts w:ascii="宋体" w:eastAsia="宋体" w:hAnsi="宋体" w:cs="宋体" w:hint="eastAsia"/>
          <w:b w:val="0"/>
          <w:bCs w:val="0"/>
          <w:color w:val="0000FF"/>
          <w:sz w:val="22"/>
          <w:szCs w:val="22"/>
        </w:rPr>
      </w:pPr>
      <w:r>
        <w:rPr>
          <w:rFonts w:ascii="宋体" w:eastAsia="宋体" w:hAnsi="宋体" w:cs="宋体" w:hint="eastAsia"/>
          <w:b w:val="0"/>
          <w:bCs w:val="0"/>
          <w:color w:val="0000FF"/>
          <w:sz w:val="22"/>
          <w:szCs w:val="22"/>
        </w:rPr>
        <w:t>理解经营者集中申报制度首先要弄清楚三个基本问题，即哪些交易属于“集中”，在什么情况下需要“报”，不报会有怎样的后果。这三个问题分别对应申报制度适用范围、申报制度触发条件以及申报制度的法律后果这三个问题，是申报制度的大体框架。</w:t>
      </w:r>
    </w:p>
    <w:p w14:paraId="612FC6CF">
      <w:pPr>
        <w:rPr>
          <w:rFonts w:ascii="宋体" w:eastAsia="宋体" w:hAnsi="宋体" w:cs="宋体" w:hint="eastAsia"/>
          <w:b w:val="0"/>
          <w:bCs w:val="0"/>
          <w:color w:val="0000FF"/>
          <w:sz w:val="22"/>
          <w:szCs w:val="22"/>
          <w:lang w:val="en-US" w:eastAsia="zh-CN"/>
        </w:rPr>
      </w:pPr>
    </w:p>
    <w:p w14:paraId="644E466B">
      <w:pPr>
        <w:rPr>
          <w:rFonts w:ascii="宋体" w:eastAsia="宋体" w:hAnsi="宋体" w:cs="宋体" w:hint="eastAsia"/>
          <w:b w:val="0"/>
          <w:bCs w:val="0"/>
          <w:color w:val="0000FF"/>
          <w:sz w:val="22"/>
          <w:szCs w:val="22"/>
          <w:lang w:val="en-US" w:eastAsia="zh-CN"/>
        </w:rPr>
      </w:pPr>
    </w:p>
    <w:p w14:paraId="1D6DA332">
      <w:pPr>
        <w:widowControl/>
        <w:spacing w:before="240" w:after="80" w:line="360" w:lineRule="auto"/>
        <w:jc w:val="left"/>
        <w:rPr>
          <w:rFonts w:ascii="黑体" w:eastAsia="黑体" w:hAnsi="黑体" w:cs="宋体" w:hint="eastAsia"/>
          <w:b/>
          <w:color w:val="0000FF"/>
          <w:kern w:val="0"/>
          <w:sz w:val="24"/>
          <w:szCs w:val="22"/>
          <w:lang w:eastAsia="en-US"/>
        </w:rPr>
      </w:pPr>
      <w:r>
        <w:rPr>
          <w:rFonts w:ascii="黑体" w:eastAsia="黑体" w:hAnsi="黑体" w:cs="宋体" w:hint="eastAsia"/>
          <w:b/>
          <w:color w:val="0000FF"/>
          <w:kern w:val="0"/>
          <w:sz w:val="24"/>
          <w:szCs w:val="22"/>
          <w:lang w:eastAsia="en-US"/>
        </w:rPr>
        <w:t>（三）德国：GWB第12次修订与交易价值门槛</w:t>
      </w:r>
    </w:p>
    <w:p w14:paraId="4E314E85">
      <w:pPr>
        <w:spacing w:line="360" w:lineRule="auto"/>
        <w:ind w:firstLine="420" w:firstLineChars="200"/>
        <w:rPr>
          <w:rFonts w:ascii="宋体" w:eastAsia="宋体" w:hAnsi="宋体" w:cs="宋体" w:hint="eastAsia"/>
          <w:b w:val="0"/>
          <w:bCs w:val="0"/>
          <w:color w:val="0000FF"/>
          <w:sz w:val="22"/>
          <w:szCs w:val="22"/>
        </w:rPr>
      </w:pPr>
      <w:r>
        <w:rPr>
          <w:rFonts w:ascii="黑体" w:eastAsia="黑体" w:hAnsi="黑体" w:hint="eastAsia"/>
          <w:b/>
          <w:color w:val="0000FF"/>
          <w:sz w:val="21"/>
        </w:rPr>
        <w:t>〔概念〕德</w:t>
      </w:r>
      <w:r>
        <w:rPr>
          <w:rFonts w:ascii="宋体" w:eastAsia="宋体" w:hAnsi="宋体" w:cs="宋体" w:hint="eastAsia"/>
          <w:b w:val="0"/>
          <w:bCs w:val="0"/>
          <w:color w:val="0000FF"/>
          <w:sz w:val="22"/>
          <w:szCs w:val="22"/>
        </w:rPr>
        <w:t>国的《反限制竞争法》（GWB）是欧盟成员国中执法最积极的国内法之一。2026年6月德国联邦经济事务与能源部发布了GWB第12次修订草案。营业额门槛的上升，全球营业额门槛由原来的5亿欧元增加到7.5亿欧元，境内第一类门槛由原来的5000万欧元提高到7500万欧元，境内第二类门槛由原来的1750万欧元提高到2000万欧元。德国政府认为此次调整可以减少大概13%至14%的申报数量。此前交易价值门槛（4000万欧元）只对目标公司在德国有“显著活动”的情况适用。修订草案把交易价值门槛（4000万欧元）作为独立的触发条件，加入了前瞻性评价的内容，只要交易对价大于4000万欧元，且目标公司业务活动“预计会在德国达到显著水平”的（一般为不超过两年），不论目标公司目前是否达到德国营业额标准，都会构成申报的情形。</w:t>
      </w:r>
    </w:p>
    <w:p w14:paraId="07FDCA95">
      <w:pPr>
        <w:rPr>
          <w:rFonts w:ascii="宋体" w:eastAsia="宋体" w:hAnsi="宋体" w:cs="宋体" w:hint="eastAsia"/>
          <w:b w:val="0"/>
          <w:bCs w:val="0"/>
          <w:color w:val="0000FF"/>
          <w:sz w:val="22"/>
          <w:szCs w:val="22"/>
          <w:lang w:val="en-US" w:eastAsia="zh-CN"/>
        </w:rPr>
      </w:pPr>
    </w:p>
    <w:p w14:paraId="78314A87">
      <w:pPr>
        <w:rPr>
          <w:rFonts w:ascii="宋体" w:eastAsia="宋体" w:hAnsi="宋体" w:cs="宋体" w:hint="eastAsia"/>
          <w:b w:val="0"/>
          <w:bCs w:val="0"/>
          <w:color w:val="0000FF"/>
          <w:sz w:val="22"/>
          <w:szCs w:val="22"/>
          <w:lang w:val="en-US" w:eastAsia="zh-CN"/>
        </w:rPr>
      </w:pPr>
    </w:p>
    <w:p w14:paraId="050D8889">
      <w:pPr>
        <w:spacing w:line="360" w:lineRule="auto"/>
        <w:ind w:firstLine="440" w:firstLineChars="200"/>
        <w:rPr>
          <w:rFonts w:ascii="宋体" w:eastAsia="宋体" w:hAnsi="宋体" w:cs="宋体" w:hint="eastAsia"/>
          <w:b w:val="0"/>
          <w:bCs w:val="0"/>
          <w:color w:val="0000FF"/>
          <w:sz w:val="22"/>
          <w:szCs w:val="22"/>
        </w:rPr>
      </w:pPr>
      <w:r>
        <w:rPr>
          <w:rFonts w:ascii="宋体" w:eastAsia="宋体" w:hAnsi="宋体" w:cs="宋体" w:hint="eastAsia"/>
          <w:b w:val="0"/>
          <w:bCs w:val="0"/>
          <w:color w:val="0000FF"/>
          <w:sz w:val="22"/>
          <w:szCs w:val="22"/>
        </w:rPr>
        <w:t>少数股权并不等于安全。持股比例达到30%没有否决权不能算作控制。持股15%并且对关键决策有一票否决权的，一般认为是共同控制。控制权认定重在看实际影响力，而不是只看持股比例。</w:t>
      </w:r>
    </w:p>
    <w:p w14:paraId="3EB0BDEF">
      <w:pPr>
        <w:spacing w:line="360" w:lineRule="auto"/>
        <w:ind w:firstLine="440" w:firstLineChars="200"/>
        <w:rPr>
          <w:rFonts w:ascii="宋体" w:eastAsia="宋体" w:hAnsi="宋体" w:cs="宋体" w:hint="eastAsia"/>
          <w:b w:val="0"/>
          <w:bCs w:val="0"/>
          <w:color w:val="0000FF"/>
          <w:sz w:val="22"/>
          <w:szCs w:val="22"/>
        </w:rPr>
      </w:pPr>
      <w:r>
        <w:rPr>
          <w:rFonts w:ascii="宋体" w:eastAsia="宋体" w:hAnsi="宋体" w:cs="宋体" w:hint="eastAsia"/>
          <w:b w:val="0"/>
          <w:bCs w:val="0"/>
          <w:color w:val="0000FF"/>
          <w:sz w:val="22"/>
          <w:szCs w:val="22"/>
        </w:rPr>
        <w:t>先交割后补报的侥幸心理不可取。欧盟、美国、日本等主要的法域都实行强制的事前申报制度。强制申报法域中未申报即交割的，有交易被要求恢复原状的风险。</w:t>
      </w:r>
    </w:p>
    <w:p w14:paraId="069BAE93">
      <w:pPr>
        <w:widowControl/>
        <w:spacing w:before="240" w:after="80" w:line="360" w:lineRule="auto"/>
        <w:jc w:val="left"/>
        <w:rPr>
          <w:rFonts w:ascii="黑体" w:eastAsia="黑体" w:hAnsi="黑体" w:cs="宋体" w:hint="eastAsia"/>
          <w:b/>
          <w:color w:val="0000FF"/>
          <w:kern w:val="0"/>
          <w:sz w:val="24"/>
          <w:szCs w:val="22"/>
          <w:lang w:eastAsia="en-US"/>
        </w:rPr>
      </w:pPr>
      <w:r>
        <w:rPr>
          <w:rFonts w:ascii="黑体" w:eastAsia="黑体" w:hAnsi="黑体" w:cs="宋体" w:hint="eastAsia"/>
          <w:b/>
          <w:color w:val="0000FF"/>
          <w:kern w:val="0"/>
          <w:sz w:val="24"/>
          <w:szCs w:val="22"/>
          <w:lang w:eastAsia="en-US"/>
        </w:rPr>
        <w:t>（三）多法域申报的协调策略</w:t>
      </w:r>
    </w:p>
    <w:p w14:paraId="5CDE3764">
      <w:pPr>
        <w:spacing w:line="360" w:lineRule="auto"/>
        <w:ind w:firstLine="420" w:firstLineChars="200"/>
        <w:rPr>
          <w:rFonts w:ascii="宋体" w:eastAsia="宋体" w:hAnsi="宋体" w:cs="宋体" w:hint="eastAsia"/>
          <w:b w:val="0"/>
          <w:bCs w:val="0"/>
          <w:color w:val="0000FF"/>
          <w:sz w:val="22"/>
          <w:szCs w:val="22"/>
        </w:rPr>
      </w:pPr>
      <w:r>
        <w:rPr>
          <w:rFonts w:ascii="黑体" w:eastAsia="黑体" w:hAnsi="黑体" w:hint="eastAsia"/>
          <w:b/>
          <w:color w:val="0000FF"/>
          <w:sz w:val="21"/>
        </w:rPr>
        <w:t>〔合规建议〕一</w:t>
      </w:r>
      <w:r>
        <w:rPr>
          <w:rFonts w:ascii="宋体" w:eastAsia="宋体" w:hAnsi="宋体" w:cs="宋体" w:hint="eastAsia"/>
          <w:b w:val="0"/>
          <w:bCs w:val="0"/>
          <w:color w:val="0000FF"/>
          <w:sz w:val="22"/>
          <w:szCs w:val="22"/>
        </w:rPr>
        <w:t>笔跨境并购交易会牵涉到很多法域的申报义务。企业在进行交易架构设计的时候应该绘制全球申报地图，在每一个法域的申报可能性、申报时间表以及审查周期都要加以考虑。申报时间表会对交割日有影响。美国HSR等待期30天，欧盟第一阶段审查25个工作日，如果第二阶段的审查变深或者附条件批准谈判，交割时间就会晚几个月。交易协议中需要留出足够长的outside date缓冲时间。对于需要多个法域进行申报的交易，应该指定一家牵头律所统筹各个法域申报的材料以及进度安排，防止由于信息不对称造成某个法域的申报延误进而影响整个交易的完成。</w:t>
      </w:r>
    </w:p>
    <w:p w14:paraId="1E252C8B">
      <w:pPr>
        <w:rPr>
          <w:rFonts w:ascii="宋体" w:eastAsia="宋体" w:hAnsi="宋体" w:cs="宋体" w:hint="eastAsia"/>
          <w:b w:val="0"/>
          <w:bCs w:val="0"/>
          <w:color w:val="0000FF"/>
          <w:sz w:val="22"/>
          <w:szCs w:val="22"/>
          <w:lang w:val="en-US" w:eastAsia="zh-CN"/>
        </w:rPr>
      </w:pPr>
    </w:p>
    <w:p w14:paraId="5AE9A1DC">
      <w:pPr>
        <w:rPr>
          <w:rFonts w:ascii="宋体" w:eastAsia="宋体" w:hAnsi="宋体" w:cs="宋体" w:hint="eastAsia"/>
          <w:b w:val="0"/>
          <w:bCs w:val="0"/>
          <w:color w:val="0000FF"/>
          <w:sz w:val="22"/>
          <w:szCs w:val="22"/>
          <w:lang w:val="en-US" w:eastAsia="zh-CN"/>
        </w:rPr>
      </w:pPr>
    </w:p>
    <w:p w14:paraId="589FB205">
      <w:pPr>
        <w:spacing w:line="360" w:lineRule="auto"/>
        <w:ind w:firstLine="440" w:firstLineChars="200"/>
        <w:rPr>
          <w:rFonts w:ascii="宋体" w:eastAsia="宋体" w:hAnsi="宋体" w:cs="宋体" w:hint="eastAsia"/>
          <w:b w:val="0"/>
          <w:bCs w:val="0"/>
          <w:color w:val="0000FF"/>
          <w:sz w:val="22"/>
          <w:szCs w:val="22"/>
        </w:rPr>
      </w:pPr>
      <w:r>
        <w:rPr>
          <w:rFonts w:ascii="宋体" w:eastAsia="宋体" w:hAnsi="宋体" w:cs="宋体" w:hint="eastAsia"/>
          <w:b w:val="0"/>
          <w:bCs w:val="0"/>
          <w:color w:val="0000FF"/>
          <w:sz w:val="22"/>
          <w:szCs w:val="22"/>
        </w:rPr>
        <w:t>不同的法域规则差别很大，不能用同一套模板。程序合规和实体合规同样重要，没有申报就交割会招致高额罚款或者交易无效的风险。中国企业海外并购要重视交易架构设计之初的申报评估工作，创建全球申报地图，留出足够的时间缓冲期，并且把境外的申报工作同国内的ODI监管同步推进，保证交易的确定性。</w:t>
      </w:r>
    </w:p>
    <w:p w14:paraId="5260FE3D">
      <w:pPr>
        <w:rPr>
          <w:rFonts w:ascii="宋体" w:eastAsia="宋体" w:hAnsi="宋体" w:cs="宋体" w:hint="eastAsia"/>
          <w:b w:val="0"/>
          <w:bCs w:val="0"/>
          <w:color w:val="0000FF"/>
          <w:sz w:val="22"/>
          <w:szCs w:val="22"/>
          <w:lang w:val="en-US" w:eastAsia="zh-CN"/>
        </w:rPr>
      </w:pPr>
    </w:p>
    <w:p w14:paraId="75B143CE">
      <w:pPr>
        <w:rPr>
          <w:rFonts w:ascii="宋体" w:eastAsia="宋体" w:hAnsi="宋体" w:cs="宋体" w:hint="eastAsia"/>
          <w:b w:val="0"/>
          <w:bCs w:val="0"/>
          <w:color w:val="0000FF"/>
          <w:sz w:val="22"/>
          <w:szCs w:val="22"/>
          <w:lang w:val="en-US" w:eastAsia="zh-CN"/>
        </w:rPr>
      </w:pPr>
    </w:p>
    <w:p w14:paraId="217BEF65">
      <w:pPr>
        <w:widowControl/>
        <w:spacing w:before="240" w:after="80" w:line="360" w:lineRule="auto"/>
        <w:jc w:val="left"/>
        <w:rPr>
          <w:rFonts w:ascii="黑体" w:eastAsia="黑体" w:hAnsi="黑体" w:cs="宋体" w:hint="eastAsia"/>
          <w:b/>
          <w:color w:val="0000FF"/>
          <w:kern w:val="0"/>
          <w:sz w:val="24"/>
          <w:szCs w:val="22"/>
          <w:lang w:eastAsia="en-US"/>
        </w:rPr>
      </w:pPr>
      <w:r>
        <w:rPr>
          <w:rFonts w:ascii="黑体" w:eastAsia="黑体" w:hAnsi="黑体" w:cs="宋体" w:hint="eastAsia"/>
          <w:b/>
          <w:color w:val="0000FF"/>
          <w:kern w:val="0"/>
          <w:sz w:val="24"/>
          <w:szCs w:val="22"/>
          <w:lang w:eastAsia="en-US"/>
        </w:rPr>
        <w:t>（一）反垄断诉讼风险</w:t>
      </w:r>
    </w:p>
    <w:p w14:paraId="6CB677D6">
      <w:pPr>
        <w:widowControl/>
        <w:spacing w:before="40" w:after="80" w:line="360" w:lineRule="auto"/>
        <w:ind w:firstLine="440"/>
        <w:jc w:val="left"/>
        <w:rPr>
          <w:rFonts w:ascii="宋体" w:eastAsia="宋体" w:hAnsi="宋体" w:cs="宋体" w:hint="eastAsia"/>
          <w:b w:val="0"/>
          <w:color w:val="0000FF"/>
          <w:kern w:val="0"/>
          <w:sz w:val="22"/>
          <w:szCs w:val="22"/>
          <w:lang w:eastAsia="en-US"/>
        </w:rPr>
      </w:pPr>
      <w:r>
        <w:rPr>
          <w:rFonts w:ascii="黑体" w:eastAsia="黑体" w:hAnsi="黑体" w:hint="eastAsia"/>
          <w:b/>
          <w:color w:val="0000FF"/>
          <w:sz w:val="21"/>
        </w:rPr>
        <w:t>〔风险识别〕反</w:t>
      </w:r>
      <w:r>
        <w:rPr>
          <w:rFonts w:ascii="宋体" w:eastAsia="宋体" w:hAnsi="宋体" w:cs="宋体" w:hint="eastAsia"/>
          <w:b w:val="0"/>
          <w:color w:val="0000FF"/>
          <w:kern w:val="0"/>
          <w:sz w:val="22"/>
          <w:szCs w:val="22"/>
          <w:lang w:eastAsia="en-US"/>
        </w:rPr>
        <w:t>垄断诉讼的高发领域集中在化工、原料药、通信以及跨境电商这四个行业。中国第一个国际反垄断案件为2005年维生素C价格案。美国买方起诉4家中国维生素C生产企业串通操纵对美出口价格，经过一审败诉、二审胜诉、最高人民法院发回重审、再审胜诉等一系列反转，历时长达十几年的诉讼。一审判决的赔偿额是1.53亿美元，约合人民币9.34亿元，比该公司当年的净利润大了52倍左右。虽然最后以国际礼让原则胜诉，但是企业在诉讼过程中所付出的律师费、市场机会的损失以及管理层的精力耗费远大于案件本身所占标的额的数额。对企业的境外合作中所签订的有关价格条款、排他性条款以及专利授权的条款提起诉讼的。企业在签订境外合作合同的时候，如果不能预见到这些条款的反垄断法律后果，等到诉讼发生之后才采取补救措施，那么成本和难度都会成倍增大。维C案主要的争议问题是：中国医药保健品进出口商会组织企业达成的出口数量、价格协议在法律上是中国的行业自律行为，但根据美国反垄断法，它被指控为价格垄断。由于不同法律体系之间存在着法律冲突，企业在国内执行法律的时候和在境外执行法律的时候，就会遇到两</w:t>
      </w:r>
      <w:r>
        <w:rPr>
          <w:rFonts w:hint="eastAsia"/>
          <w:color w:val="0000FF"/>
        </w:rPr>
        <w:t>难境地。最终由中国的药企胜诉，美国法院以国际礼让为由认为中美法律存在着真实的冲突，放弃对涉案行为进行域外管辖。</w:t>
      </w:r>
    </w:p>
    <w:p w14:paraId="3871A8A1">
      <w:pPr>
        <w:widowControl/>
        <w:spacing w:before="40" w:after="80" w:line="360" w:lineRule="auto"/>
        <w:ind w:firstLine="440"/>
        <w:jc w:val="left"/>
        <w:rPr>
          <w:rFonts w:ascii="宋体" w:eastAsia="宋体" w:hAnsi="宋体" w:cs="宋体" w:hint="eastAsia"/>
          <w:b w:val="0"/>
          <w:color w:val="0000FF"/>
          <w:kern w:val="0"/>
          <w:sz w:val="22"/>
          <w:szCs w:val="22"/>
          <w:lang w:eastAsia="en-US"/>
        </w:rPr>
      </w:pPr>
      <w:r>
        <w:rPr>
          <w:rFonts w:ascii="黑体" w:eastAsia="黑体" w:hAnsi="黑体" w:hint="eastAsia"/>
          <w:b/>
          <w:color w:val="0000FF"/>
          <w:sz w:val="21"/>
        </w:rPr>
        <w:t>〔行动建议〕在</w:t>
      </w:r>
      <w:r>
        <w:rPr>
          <w:rFonts w:ascii="宋体" w:eastAsia="宋体" w:hAnsi="宋体" w:cs="宋体" w:hint="eastAsia"/>
          <w:b w:val="0"/>
          <w:color w:val="0000FF"/>
          <w:kern w:val="0"/>
          <w:sz w:val="22"/>
          <w:szCs w:val="22"/>
          <w:lang w:eastAsia="en-US"/>
        </w:rPr>
        <w:t>境外合作合同签署时要加入反垄断合规审核环节。重点审查三种条款，分别是和合作方就价格、产量、销售区域所做的一切约定；限制合作方与第三方交易或者限定交易对象的条款；在涉及专利许可的情况下授权条件是否公平、合理、无歧视。化工、原料药等诉讼频发行业企业签署合同时应该委托当地的律师在合同签订前出具反垄断风险评估报告。对于行业协会组织的集体行动，在签订合同前应当对目标法域内的这种行为是否会被认定为横向垄断协议进行评估。</w:t>
      </w:r>
    </w:p>
    <w:p w14:paraId="7B0AFE93">
      <w:pPr>
        <w:widowControl/>
        <w:spacing w:before="40" w:after="80" w:line="360" w:lineRule="auto"/>
        <w:ind w:firstLine="440"/>
        <w:jc w:val="left"/>
        <w:rPr>
          <w:rFonts w:ascii="宋体" w:eastAsia="宋体" w:hAnsi="宋体" w:cs="宋体" w:hint="eastAsia"/>
          <w:b w:val="0"/>
          <w:color w:val="0000FF"/>
          <w:kern w:val="0"/>
          <w:sz w:val="22"/>
          <w:szCs w:val="22"/>
          <w:lang w:eastAsia="en-US"/>
        </w:rPr>
      </w:pPr>
    </w:p>
    <w:p w14:paraId="5158BAE4">
      <w:pPr>
        <w:widowControl/>
        <w:spacing w:before="40" w:after="80" w:line="360" w:lineRule="auto"/>
        <w:ind w:firstLine="440"/>
        <w:jc w:val="left"/>
        <w:rPr>
          <w:rFonts w:ascii="宋体" w:eastAsia="宋体" w:hAnsi="宋体" w:cs="宋体" w:hint="eastAsia"/>
          <w:b w:val="0"/>
          <w:color w:val="0000FF"/>
          <w:kern w:val="0"/>
          <w:sz w:val="22"/>
          <w:szCs w:val="22"/>
          <w:lang w:eastAsia="en-US"/>
        </w:rPr>
      </w:pPr>
    </w:p>
    <w:p w14:paraId="6EF3545F">
      <w:pPr>
        <w:widowControl/>
        <w:spacing w:before="40" w:after="80" w:line="360" w:lineRule="auto"/>
        <w:ind w:firstLine="440"/>
        <w:jc w:val="left"/>
        <w:rPr>
          <w:rFonts w:ascii="宋体" w:eastAsia="宋体" w:hAnsi="宋体" w:cs="宋体" w:hint="eastAsia"/>
          <w:b w:val="0"/>
          <w:color w:val="0000FF"/>
          <w:kern w:val="0"/>
          <w:sz w:val="22"/>
          <w:szCs w:val="22"/>
          <w:lang w:eastAsia="en-US"/>
        </w:rPr>
      </w:pPr>
      <w:r>
        <w:rPr>
          <w:rFonts w:ascii="宋体" w:eastAsia="宋体" w:hAnsi="宋体" w:cs="宋体" w:hint="eastAsia"/>
          <w:b w:val="0"/>
          <w:color w:val="0000FF"/>
          <w:kern w:val="0"/>
          <w:sz w:val="22"/>
          <w:szCs w:val="22"/>
          <w:lang w:eastAsia="en-US"/>
        </w:rPr>
        <w:t>预案制定以后必须进行模拟演练，使前台接待、行政人员以及业务部门员工明白“如果今天有执法机关来，那么第一步做什么”。值得注意的是部分法域对于“不配合调查”的行为本身就是独立的违法行为，所以在制定预案的时候必须明确，员工配合调查人员合法要求的义务，在律师到场之前不能回答实质性问题。</w:t>
      </w:r>
    </w:p>
    <w:p w14:paraId="271A684D">
      <w:pPr>
        <w:widowControl/>
        <w:spacing w:before="240" w:after="80" w:line="360" w:lineRule="auto"/>
        <w:jc w:val="left"/>
        <w:rPr>
          <w:rFonts w:ascii="黑体" w:eastAsia="黑体" w:hAnsi="黑体" w:cs="宋体" w:hint="eastAsia"/>
          <w:b/>
          <w:color w:val="0000FF"/>
          <w:kern w:val="0"/>
          <w:sz w:val="24"/>
          <w:szCs w:val="22"/>
          <w:lang w:eastAsia="en-US"/>
        </w:rPr>
      </w:pPr>
      <w:r>
        <w:rPr>
          <w:rFonts w:ascii="黑体" w:eastAsia="黑体" w:hAnsi="黑体" w:cs="宋体" w:hint="eastAsia"/>
          <w:b/>
          <w:color w:val="0000FF"/>
          <w:kern w:val="0"/>
          <w:sz w:val="24"/>
          <w:szCs w:val="22"/>
          <w:lang w:eastAsia="en-US"/>
        </w:rPr>
        <w:t>（三）渠道管理与纵向限制风险</w:t>
      </w:r>
    </w:p>
    <w:p w14:paraId="6B201284">
      <w:pPr>
        <w:widowControl/>
        <w:spacing w:before="40" w:after="80" w:line="360" w:lineRule="auto"/>
        <w:ind w:firstLine="440"/>
        <w:jc w:val="left"/>
        <w:rPr>
          <w:rFonts w:ascii="宋体" w:eastAsia="宋体" w:hAnsi="宋体" w:cs="宋体" w:hint="eastAsia"/>
          <w:b w:val="0"/>
          <w:color w:val="0000FF"/>
          <w:kern w:val="0"/>
          <w:sz w:val="22"/>
          <w:szCs w:val="22"/>
          <w:lang w:eastAsia="en-US"/>
        </w:rPr>
      </w:pPr>
      <w:r>
        <w:rPr>
          <w:rFonts w:ascii="黑体" w:eastAsia="黑体" w:hAnsi="黑体" w:hint="eastAsia"/>
          <w:b/>
          <w:color w:val="0000FF"/>
          <w:sz w:val="21"/>
        </w:rPr>
        <w:t>〔风险识别〕东</w:t>
      </w:r>
      <w:r>
        <w:rPr>
          <w:rFonts w:ascii="宋体" w:eastAsia="宋体" w:hAnsi="宋体" w:cs="宋体" w:hint="eastAsia"/>
          <w:b w:val="0"/>
          <w:color w:val="0000FF"/>
          <w:kern w:val="0"/>
          <w:sz w:val="22"/>
          <w:szCs w:val="22"/>
          <w:lang w:eastAsia="en-US"/>
        </w:rPr>
        <w:t>盟国家对于中国企业的反垄断执法主要是对于控制渠道行为的严格审查。2025年8月6日，印尼KPPU对一家中国企业的印尼关联公司作出4490亿印尼盾（约合人民币1.97亿元）的反垄断罚款，创下了KPPU历史上的最高反垄断罚款纪录，也比谷歌之前开出的2025亿印尼盾罚款高得多。案件的触发者就是该企业本地代理商自己，因为不满企业的渠道政策而向KPPU举报。KPPU认为该企业存在违反印尼竞争法第14条有关纵向垄断协议的规定以及第19条有关滥用市场支配地位的规定的情形，主要体现在企业强迫经销商必须从企业指定的三个本地子公司采购设备，实际上剥夺了经销商的采购自主权；绕过经销商直接向终端客户供货，使经销商的商业价值降低；对不同的经销商采取不同的付款条件以及销售指标，造成部分经销商不能履行合同而被排除在市场之外。印尼混凝土机械市场占有率达90%以上，挖掘机市占率30%以上，高占</w:t>
      </w:r>
      <w:r>
        <w:rPr>
          <w:rFonts w:ascii="宋体" w:eastAsia="宋体" w:hAnsi="宋体" w:cs="宋体" w:hint="eastAsia"/>
          <w:b w:val="0"/>
          <w:color w:val="0000FF"/>
          <w:kern w:val="0"/>
          <w:sz w:val="22"/>
          <w:szCs w:val="22"/>
          <w:lang w:eastAsia="zh-CN"/>
        </w:rPr>
        <w:t>有</w:t>
      </w:r>
      <w:r>
        <w:rPr>
          <w:rFonts w:ascii="宋体" w:eastAsia="宋体" w:hAnsi="宋体" w:cs="宋体" w:hint="eastAsia"/>
          <w:b w:val="0"/>
          <w:color w:val="0000FF"/>
          <w:kern w:val="0"/>
          <w:sz w:val="22"/>
          <w:szCs w:val="22"/>
          <w:lang w:eastAsia="en-US"/>
        </w:rPr>
        <w:t>率是实力的象征，也是反垄断执法的目标。印尼大选前夕政府加强了“本土产业优先”的政策，对中国的公司实行重税政策，并且对分销体系进行严厉审查，这些行为的背后有着民族主义情绪以及地缘政治的交集。</w:t>
      </w:r>
    </w:p>
    <w:p w14:paraId="066D718F">
      <w:pPr>
        <w:widowControl/>
        <w:spacing w:before="40" w:after="80" w:line="360" w:lineRule="auto"/>
        <w:ind w:firstLine="440"/>
        <w:jc w:val="left"/>
        <w:rPr>
          <w:rFonts w:ascii="宋体" w:eastAsia="宋体" w:hAnsi="宋体" w:cs="宋体" w:hint="eastAsia"/>
          <w:b w:val="0"/>
          <w:color w:val="0000FF"/>
          <w:kern w:val="0"/>
          <w:sz w:val="22"/>
          <w:szCs w:val="22"/>
          <w:lang w:eastAsia="en-US"/>
        </w:rPr>
      </w:pPr>
      <w:r>
        <w:rPr>
          <w:rFonts w:ascii="黑体" w:eastAsia="黑体" w:hAnsi="黑体" w:hint="eastAsia"/>
          <w:b/>
          <w:color w:val="0000FF"/>
          <w:sz w:val="21"/>
        </w:rPr>
        <w:t>〔行动建议〕东</w:t>
      </w:r>
      <w:r>
        <w:rPr>
          <w:rFonts w:ascii="宋体" w:eastAsia="宋体" w:hAnsi="宋体" w:cs="宋体" w:hint="eastAsia"/>
          <w:b w:val="0"/>
          <w:color w:val="0000FF"/>
          <w:kern w:val="0"/>
          <w:sz w:val="22"/>
          <w:szCs w:val="22"/>
          <w:lang w:eastAsia="en-US"/>
        </w:rPr>
        <w:t>盟市场的经营企业在东盟市场的市场份额大于30%时，应该主动做反垄断风险评价。经销协议中不能约定强制采购渠道、价格跟踪、客户限定的条款。渠道管理策略要从设计阶段就开始引入合规审查，不能等到协议签订之后才去“补合规”。对于已经建立类似的渠道安排的业务，应该主动开展合规自查，看经销商协议排他性条款、采购渠道限制等条款是否可以进行调整。另外，东盟国家执法逻辑和欧美不一样，欧美重视横向的价格联盟，东南亚国家更关心品牌方对下游渠道的掌控，即转售价格维持、限定销售区域、排他性经销合同、不合理考核或者付款条件给经销商设置等。</w:t>
      </w:r>
    </w:p>
    <w:p w14:paraId="29F9CA6B">
      <w:pPr>
        <w:widowControl/>
        <w:spacing w:before="40" w:after="80" w:line="360" w:lineRule="auto"/>
        <w:ind w:firstLine="440"/>
        <w:jc w:val="left"/>
        <w:rPr>
          <w:rFonts w:ascii="宋体" w:eastAsia="宋体" w:hAnsi="宋体" w:cs="宋体" w:hint="eastAsia"/>
          <w:b w:val="0"/>
          <w:color w:val="0000FF"/>
          <w:kern w:val="0"/>
          <w:sz w:val="22"/>
          <w:szCs w:val="22"/>
          <w:lang w:eastAsia="en-US"/>
        </w:rPr>
      </w:pPr>
    </w:p>
    <w:p w14:paraId="6EB07135">
      <w:pPr>
        <w:widowControl/>
        <w:spacing w:before="40" w:after="80" w:line="360" w:lineRule="auto"/>
        <w:ind w:firstLine="440"/>
        <w:jc w:val="left"/>
        <w:rPr>
          <w:rFonts w:ascii="宋体" w:eastAsia="宋体" w:hAnsi="宋体" w:cs="宋体" w:hint="eastAsia"/>
          <w:b w:val="0"/>
          <w:color w:val="0000FF"/>
          <w:kern w:val="0"/>
          <w:sz w:val="22"/>
          <w:szCs w:val="22"/>
          <w:lang w:eastAsia="en-US"/>
        </w:rPr>
      </w:pPr>
    </w:p>
    <w:p w14:paraId="2AFBE33D">
      <w:pPr>
        <w:widowControl/>
        <w:spacing w:before="240" w:after="120" w:line="360" w:lineRule="auto"/>
        <w:jc w:val="left"/>
        <w:rPr>
          <w:rFonts w:ascii="黑体" w:eastAsia="黑体" w:hAnsi="黑体" w:cs="宋体" w:hint="eastAsia"/>
          <w:b/>
          <w:color w:val="0000FF"/>
          <w:kern w:val="0"/>
          <w:sz w:val="26"/>
          <w:szCs w:val="22"/>
          <w:lang w:eastAsia="en-US"/>
        </w:rPr>
      </w:pPr>
      <w:r>
        <w:rPr>
          <w:rFonts w:ascii="黑体" w:eastAsia="黑体" w:hAnsi="黑体" w:cs="宋体" w:hint="eastAsia"/>
          <w:b/>
          <w:color w:val="0000FF"/>
          <w:kern w:val="0"/>
          <w:sz w:val="26"/>
          <w:szCs w:val="22"/>
          <w:lang w:eastAsia="en-US"/>
        </w:rPr>
        <w:t>二、合规管理机制的落地要点</w:t>
      </w:r>
    </w:p>
    <w:p w14:paraId="798B7673">
      <w:pPr>
        <w:widowControl/>
        <w:spacing w:before="40" w:after="80" w:line="360" w:lineRule="auto"/>
        <w:ind w:firstLine="440"/>
        <w:jc w:val="left"/>
        <w:rPr>
          <w:rFonts w:ascii="宋体" w:eastAsia="宋体" w:hAnsi="宋体" w:cs="宋体" w:hint="eastAsia"/>
          <w:b w:val="0"/>
          <w:color w:val="0000FF"/>
          <w:kern w:val="0"/>
          <w:sz w:val="22"/>
          <w:szCs w:val="22"/>
          <w:lang w:eastAsia="en-US"/>
        </w:rPr>
      </w:pPr>
      <w:r>
        <w:rPr>
          <w:rFonts w:ascii="宋体" w:eastAsia="宋体" w:hAnsi="宋体" w:cs="宋体" w:hint="eastAsia"/>
          <w:b w:val="0"/>
          <w:color w:val="0000FF"/>
          <w:kern w:val="0"/>
          <w:sz w:val="22"/>
          <w:szCs w:val="22"/>
          <w:lang w:eastAsia="en-US"/>
        </w:rPr>
        <w:t>合规机制的生命力在于“能用”，而不在“有”。一个完备的境外反垄断合规体系要回答好“谁管、管什么、怎么运转”这三个问题。市场监管总局《企业境外反垄断合规指引》认为企业特别是大型企业应设境外反垄断合规管理部门或者岗位，合规管理工作的主要内容是及时向决策层、业务部门提供反垄断合规意见，掌握所涉司法辖区反垄断立法、执法、司法的最新情况。</w:t>
      </w:r>
    </w:p>
    <w:p w14:paraId="6F2D4D1E">
      <w:pPr>
        <w:widowControl/>
        <w:spacing w:before="240" w:after="80" w:line="360" w:lineRule="auto"/>
        <w:jc w:val="left"/>
        <w:rPr>
          <w:rFonts w:ascii="黑体" w:eastAsia="黑体" w:hAnsi="黑体" w:cs="宋体" w:hint="eastAsia"/>
          <w:b/>
          <w:color w:val="0000FF"/>
          <w:kern w:val="0"/>
          <w:sz w:val="24"/>
          <w:szCs w:val="22"/>
          <w:lang w:eastAsia="en-US"/>
        </w:rPr>
      </w:pPr>
      <w:r>
        <w:rPr>
          <w:rFonts w:ascii="黑体" w:eastAsia="黑体" w:hAnsi="黑体" w:cs="宋体" w:hint="eastAsia"/>
          <w:b/>
          <w:color w:val="0000FF"/>
          <w:kern w:val="0"/>
          <w:sz w:val="24"/>
          <w:szCs w:val="22"/>
          <w:lang w:eastAsia="en-US"/>
        </w:rPr>
        <w:t>（一）合规职责的分工架构</w:t>
      </w:r>
    </w:p>
    <w:p w14:paraId="3A64E4F7">
      <w:pPr>
        <w:widowControl/>
        <w:spacing w:before="40" w:after="80" w:line="360" w:lineRule="auto"/>
        <w:ind w:firstLine="440"/>
        <w:jc w:val="left"/>
        <w:rPr>
          <w:rFonts w:ascii="宋体" w:eastAsia="宋体" w:hAnsi="宋体" w:cs="宋体" w:hint="eastAsia"/>
          <w:b w:val="0"/>
          <w:color w:val="0000FF"/>
          <w:kern w:val="0"/>
          <w:sz w:val="22"/>
          <w:szCs w:val="22"/>
          <w:lang w:eastAsia="en-US"/>
        </w:rPr>
      </w:pPr>
      <w:r>
        <w:rPr>
          <w:rFonts w:ascii="黑体" w:eastAsia="黑体" w:hAnsi="黑体" w:hint="eastAsia"/>
          <w:b/>
          <w:color w:val="0000FF"/>
          <w:sz w:val="21"/>
        </w:rPr>
        <w:t>〔落地指引〕集</w:t>
      </w:r>
      <w:r>
        <w:rPr>
          <w:rFonts w:ascii="宋体" w:eastAsia="宋体" w:hAnsi="宋体" w:cs="宋体" w:hint="eastAsia"/>
          <w:b w:val="0"/>
          <w:color w:val="0000FF"/>
          <w:kern w:val="0"/>
          <w:sz w:val="22"/>
          <w:szCs w:val="22"/>
          <w:lang w:eastAsia="en-US"/>
        </w:rPr>
        <w:t>团层面应设境外反垄断合规负责人，对“什么都管”的工作不能够无所作为，而应全面规划合规政策、汇总各个市场风险信息、协调跨国域的重大合规问题。对主要的目标市场来说，应该设专人负责搜集当地的执法动态，保持本地法律顾问的关系，做日常的风险排查工作。业务部门应设立合规对接人，在业务决策形成之前对合规审核进行“触发”，</w:t>
      </w:r>
      <w:r>
        <w:rPr>
          <w:rFonts w:ascii="宋体" w:eastAsia="宋体" w:hAnsi="宋体" w:cs="宋体" w:hint="eastAsia"/>
          <w:b w:val="0"/>
          <w:color w:val="0000FF"/>
          <w:kern w:val="0"/>
          <w:sz w:val="22"/>
          <w:szCs w:val="22"/>
          <w:lang w:eastAsia="zh-CN"/>
        </w:rPr>
        <w:t>新</w:t>
      </w:r>
      <w:r>
        <w:rPr>
          <w:rFonts w:ascii="宋体" w:eastAsia="宋体" w:hAnsi="宋体" w:cs="宋体" w:hint="eastAsia"/>
          <w:b w:val="0"/>
          <w:color w:val="0000FF"/>
          <w:kern w:val="0"/>
          <w:sz w:val="22"/>
          <w:szCs w:val="22"/>
          <w:lang w:eastAsia="en-US"/>
        </w:rPr>
        <w:t>渠道模式的设计之前、重大合作协议的签订之前，业务负责人必须通知合规对接人，合规对接人再决定是否需要做专业的评估。</w:t>
      </w:r>
    </w:p>
    <w:p w14:paraId="67B66AA4">
      <w:pPr>
        <w:widowControl/>
        <w:spacing w:before="40" w:after="80" w:line="360" w:lineRule="auto"/>
        <w:ind w:firstLine="440"/>
        <w:jc w:val="left"/>
        <w:rPr>
          <w:rFonts w:ascii="黑体" w:eastAsia="黑体" w:hAnsi="黑体" w:cs="宋体" w:hint="eastAsia"/>
          <w:b/>
          <w:color w:val="0000FF"/>
          <w:kern w:val="0"/>
          <w:sz w:val="24"/>
          <w:szCs w:val="22"/>
          <w:lang w:eastAsia="en-US"/>
        </w:rPr>
      </w:pPr>
      <w:r>
        <w:rPr>
          <w:rFonts w:ascii="黑体" w:eastAsia="黑体" w:hAnsi="黑体" w:hint="eastAsia"/>
          <w:b/>
          <w:color w:val="0000FF"/>
          <w:sz w:val="21"/>
        </w:rPr>
        <w:t>〔行动建议〕对</w:t>
      </w:r>
      <w:r>
        <w:rPr>
          <w:rFonts w:ascii="宋体" w:eastAsia="宋体" w:hAnsi="宋体" w:cs="宋体" w:hint="eastAsia"/>
          <w:b w:val="0"/>
          <w:color w:val="0000FF"/>
          <w:kern w:val="0"/>
          <w:sz w:val="22"/>
          <w:szCs w:val="22"/>
          <w:lang w:eastAsia="en-US"/>
        </w:rPr>
        <w:t>于在多个国家地区经营的企业，在创建架构时要建立“总部统筹、属地执行、业务触发”的三层架构。总部制定政策和标准，属地搜集信息对接本地资源，业务部门第一时间把合规问题“交出去”，不能“藏起来”。2026年市场监管总局开展的专项行动中，提出了“高层统筹、部门负责、岗位落实”的工作机制，实质上就是对合规责任不能只停留在法务部内部，必须把合规责任落实到业务前端的要求。</w:t>
      </w:r>
    </w:p>
    <w:p w14:paraId="69982273">
      <w:pPr>
        <w:widowControl/>
        <w:spacing w:before="240" w:after="80" w:line="360" w:lineRule="auto"/>
        <w:jc w:val="left"/>
        <w:rPr>
          <w:rFonts w:ascii="黑体" w:eastAsia="黑体" w:hAnsi="黑体" w:cs="宋体" w:hint="eastAsia"/>
          <w:b/>
          <w:color w:val="0000FF"/>
          <w:kern w:val="0"/>
          <w:sz w:val="24"/>
          <w:szCs w:val="22"/>
          <w:lang w:eastAsia="en-US"/>
        </w:rPr>
      </w:pPr>
      <w:r>
        <w:rPr>
          <w:rFonts w:ascii="黑体" w:eastAsia="黑体" w:hAnsi="黑体" w:cs="宋体" w:hint="eastAsia"/>
          <w:b/>
          <w:color w:val="0000FF"/>
          <w:kern w:val="0"/>
          <w:sz w:val="24"/>
          <w:szCs w:val="22"/>
          <w:lang w:eastAsia="en-US"/>
        </w:rPr>
        <w:t>（二）合规手册的编制与更新</w:t>
      </w:r>
    </w:p>
    <w:p w14:paraId="4B00D5FC">
      <w:pPr>
        <w:widowControl/>
        <w:spacing w:before="40" w:after="80" w:line="360" w:lineRule="auto"/>
        <w:ind w:firstLine="440"/>
        <w:jc w:val="left"/>
        <w:rPr>
          <w:rFonts w:ascii="宋体" w:eastAsia="宋体" w:hAnsi="宋体" w:cs="宋体" w:hint="eastAsia"/>
          <w:b w:val="0"/>
          <w:color w:val="0000FF"/>
          <w:kern w:val="0"/>
          <w:sz w:val="22"/>
          <w:szCs w:val="22"/>
          <w:lang w:eastAsia="en-US"/>
        </w:rPr>
      </w:pPr>
      <w:r>
        <w:rPr>
          <w:rFonts w:ascii="黑体" w:eastAsia="黑体" w:hAnsi="黑体" w:hint="eastAsia"/>
          <w:b/>
          <w:color w:val="0000FF"/>
          <w:sz w:val="21"/>
        </w:rPr>
        <w:t>〔落地指引〕合</w:t>
      </w:r>
      <w:r>
        <w:rPr>
          <w:rFonts w:ascii="宋体" w:eastAsia="宋体" w:hAnsi="宋体" w:cs="宋体" w:hint="eastAsia"/>
          <w:b w:val="0"/>
          <w:color w:val="0000FF"/>
          <w:kern w:val="0"/>
          <w:sz w:val="22"/>
          <w:szCs w:val="22"/>
          <w:lang w:eastAsia="en-US"/>
        </w:rPr>
        <w:t>规手册最严重的错误就是写成“法律教科书”。一份好的手册应该是一份操作手册，即目标法域申报门槛速查表，使业务人员可以很快找到“这笔交易是否需要报”的答案，高风险行为清单，列举出在某个市场里“碰了就有可能出事”的行为，调查应对流程图，以图示的形式向员工展示“有检查的时候，第一步找谁、第二步做什么”，外部律师联络表，按照法域列出能够迅速联系的当地专业机构。合规手册还要有各个法域纵向限制规则的区别对比，比如同样是建议零售价，欧盟会看做转售价格维持的高风险信号，而在部分东盟国家可以被允许，这个差异要让业务人员知道。</w:t>
      </w:r>
    </w:p>
    <w:p w14:paraId="0522CF82">
      <w:pPr>
        <w:widowControl/>
        <w:spacing w:before="40" w:after="80" w:line="360" w:lineRule="auto"/>
        <w:ind w:firstLine="440"/>
        <w:jc w:val="left"/>
        <w:rPr>
          <w:rFonts w:ascii="宋体" w:eastAsia="宋体" w:hAnsi="宋体" w:cs="宋体" w:hint="eastAsia"/>
          <w:b w:val="0"/>
          <w:color w:val="0000FF"/>
          <w:kern w:val="0"/>
          <w:sz w:val="22"/>
          <w:szCs w:val="22"/>
          <w:lang w:eastAsia="en-US"/>
        </w:rPr>
      </w:pPr>
      <w:r>
        <w:rPr>
          <w:rFonts w:ascii="黑体" w:eastAsia="黑体" w:hAnsi="黑体" w:hint="eastAsia"/>
          <w:b/>
          <w:color w:val="0000FF"/>
          <w:sz w:val="21"/>
        </w:rPr>
        <w:t>〔行动建议〕建</w:t>
      </w:r>
      <w:r>
        <w:rPr>
          <w:rFonts w:ascii="宋体" w:eastAsia="宋体" w:hAnsi="宋体" w:cs="宋体" w:hint="eastAsia"/>
          <w:b w:val="0"/>
          <w:color w:val="0000FF"/>
          <w:kern w:val="0"/>
          <w:sz w:val="22"/>
          <w:szCs w:val="22"/>
          <w:lang w:eastAsia="en-US"/>
        </w:rPr>
        <w:t>议以市场监管总局2021年发布的《企业境外反垄断合规指引》（国市监反垄发〔2021〕72号）为框架蓝本。该指引对合规管理职责、风险识别、合规承诺等重要的要素做了全面的规定，企业可以在以上规定的基础上对目标市场执法特点做“一国一策”的细化。手册每年必须修订一次，主要对门槛进行调整以及典型执法案例进行更新。市场监管总局正在推进海外反垄断合规服务平台的建立，为企业的法规查询、案例检索、风险预警提供服务，企业可以把该平台的资源当作手册的动态更新材料。</w:t>
      </w:r>
    </w:p>
    <w:p w14:paraId="6590A33E">
      <w:pPr>
        <w:widowControl/>
        <w:spacing w:before="240" w:after="80" w:line="360" w:lineRule="auto"/>
        <w:jc w:val="left"/>
        <w:rPr>
          <w:rFonts w:ascii="黑体" w:eastAsia="黑体" w:hAnsi="黑体" w:cs="宋体" w:hint="eastAsia"/>
          <w:b/>
          <w:color w:val="0000FF"/>
          <w:kern w:val="0"/>
          <w:sz w:val="24"/>
          <w:szCs w:val="22"/>
          <w:lang w:eastAsia="en-US"/>
        </w:rPr>
      </w:pPr>
      <w:r>
        <w:rPr>
          <w:rFonts w:ascii="黑体" w:eastAsia="黑体" w:hAnsi="黑体" w:cs="宋体" w:hint="eastAsia"/>
          <w:b/>
          <w:color w:val="0000FF"/>
          <w:kern w:val="0"/>
          <w:sz w:val="24"/>
          <w:szCs w:val="22"/>
          <w:lang w:eastAsia="en-US"/>
        </w:rPr>
        <w:t>（三）合规培训的差异化设计</w:t>
      </w:r>
    </w:p>
    <w:p w14:paraId="40A46130">
      <w:pPr>
        <w:widowControl/>
        <w:spacing w:before="40" w:after="80" w:line="360" w:lineRule="auto"/>
        <w:ind w:firstLine="440"/>
        <w:jc w:val="left"/>
        <w:rPr>
          <w:rFonts w:ascii="宋体" w:eastAsia="宋体" w:hAnsi="宋体" w:cs="宋体" w:hint="eastAsia"/>
          <w:b w:val="0"/>
          <w:color w:val="0000FF"/>
          <w:kern w:val="0"/>
          <w:sz w:val="22"/>
          <w:szCs w:val="22"/>
          <w:lang w:eastAsia="en-US"/>
        </w:rPr>
      </w:pPr>
      <w:r>
        <w:rPr>
          <w:rFonts w:ascii="黑体" w:eastAsia="黑体" w:hAnsi="黑体" w:hint="eastAsia"/>
          <w:b/>
          <w:color w:val="0000FF"/>
          <w:sz w:val="21"/>
        </w:rPr>
        <w:t>〔落地指引〕</w:t>
      </w:r>
      <w:r>
        <w:rPr>
          <w:rFonts w:ascii="宋体" w:eastAsia="宋体" w:hAnsi="宋体" w:cs="宋体" w:hint="eastAsia"/>
          <w:b w:val="0"/>
          <w:color w:val="0000FF"/>
          <w:kern w:val="0"/>
          <w:sz w:val="22"/>
          <w:szCs w:val="22"/>
          <w:lang w:eastAsia="en-US"/>
        </w:rPr>
        <w:t>各个岗位所面临的风险性质不一样，培训内容不能“一锅煮”。销售人员最需要了解的就是：与经销商商谈价格时不能说的话，行业会议上的哪些话题应该回避，经销协议中的哪些条款容易引起纵向垄断协议的审查。法务人员掌握的是申报判断的操作办法、调查应对的法律程序、评价合作方反垄断合规情况的办法。高管人员要知晓的是，哪些决定会使企业处于反垄断的风险之下，风险事件出现时企业的合规体系能否正常运转。市场监管总局2026年行动方案提出举办6-8场合规讲堂，围绕重点国别、行业开展专题培训，企业可依自身出海目的市场来决定是否参加。</w:t>
      </w:r>
    </w:p>
    <w:p w14:paraId="2503B506">
      <w:pPr>
        <w:widowControl/>
        <w:spacing w:before="40" w:after="80" w:line="360" w:lineRule="auto"/>
        <w:ind w:firstLine="440"/>
        <w:jc w:val="left"/>
        <w:rPr>
          <w:rFonts w:ascii="宋体" w:eastAsia="宋体" w:hAnsi="宋体" w:cs="宋体" w:hint="eastAsia"/>
          <w:b w:val="0"/>
          <w:color w:val="0000FF"/>
          <w:kern w:val="0"/>
          <w:sz w:val="22"/>
          <w:szCs w:val="22"/>
          <w:lang w:eastAsia="en-US"/>
        </w:rPr>
      </w:pPr>
      <w:r>
        <w:rPr>
          <w:rFonts w:ascii="黑体" w:eastAsia="黑体" w:hAnsi="黑体" w:hint="eastAsia"/>
          <w:b/>
          <w:color w:val="0000FF"/>
          <w:sz w:val="21"/>
        </w:rPr>
        <w:t>行动建议就是</w:t>
      </w:r>
      <w:r>
        <w:rPr>
          <w:rFonts w:ascii="宋体" w:eastAsia="宋体" w:hAnsi="宋体" w:cs="宋体" w:hint="eastAsia"/>
          <w:b w:val="0"/>
          <w:color w:val="0000FF"/>
          <w:kern w:val="0"/>
          <w:sz w:val="22"/>
          <w:szCs w:val="22"/>
          <w:lang w:eastAsia="en-US"/>
        </w:rPr>
        <w:t>结合真实的案例进行培训。印尼KPPU对中资装备制造企业罚款的案例比任何一条抽象的法律条文都更有说服力。使业务人员感觉到“国内正常的渠道优化在东盟会被处以近2亿罚款”，才能有风险意识。培训频率建议每年一次，新市场、新渠道模式的渠道设计要经过专项培训之后才可执行。</w:t>
      </w:r>
    </w:p>
    <w:p w14:paraId="7653AB2A">
      <w:pPr>
        <w:widowControl/>
        <w:spacing w:before="240" w:after="80" w:line="360" w:lineRule="auto"/>
        <w:jc w:val="left"/>
        <w:rPr>
          <w:rFonts w:ascii="黑体" w:eastAsia="黑体" w:hAnsi="黑体" w:cs="宋体" w:hint="eastAsia"/>
          <w:b/>
          <w:color w:val="0000FF"/>
          <w:kern w:val="0"/>
          <w:sz w:val="24"/>
          <w:szCs w:val="22"/>
          <w:lang w:eastAsia="en-US"/>
        </w:rPr>
      </w:pPr>
      <w:r>
        <w:rPr>
          <w:rFonts w:ascii="黑体" w:eastAsia="黑体" w:hAnsi="黑体" w:cs="宋体" w:hint="eastAsia"/>
          <w:b/>
          <w:color w:val="0000FF"/>
          <w:kern w:val="0"/>
          <w:sz w:val="24"/>
          <w:szCs w:val="22"/>
          <w:lang w:eastAsia="en-US"/>
        </w:rPr>
        <w:t>（四）合规审查的触发机制</w:t>
      </w:r>
    </w:p>
    <w:p w14:paraId="48842E69">
      <w:pPr>
        <w:widowControl/>
        <w:spacing w:before="40" w:after="80" w:line="360" w:lineRule="auto"/>
        <w:ind w:firstLine="440"/>
        <w:jc w:val="left"/>
        <w:rPr>
          <w:rFonts w:ascii="宋体" w:eastAsia="宋体" w:hAnsi="宋体" w:cs="宋体" w:hint="eastAsia"/>
          <w:b w:val="0"/>
          <w:color w:val="0000FF"/>
          <w:kern w:val="0"/>
          <w:sz w:val="22"/>
          <w:szCs w:val="22"/>
          <w:lang w:eastAsia="en-US"/>
        </w:rPr>
      </w:pPr>
      <w:r>
        <w:rPr>
          <w:rFonts w:ascii="黑体" w:eastAsia="黑体" w:hAnsi="黑体" w:hint="eastAsia"/>
          <w:b/>
          <w:color w:val="0000FF"/>
          <w:sz w:val="21"/>
        </w:rPr>
        <w:t>〔落地指引〕合</w:t>
      </w:r>
      <w:r>
        <w:rPr>
          <w:rFonts w:ascii="宋体" w:eastAsia="宋体" w:hAnsi="宋体" w:cs="宋体" w:hint="eastAsia"/>
          <w:b w:val="0"/>
          <w:color w:val="0000FF"/>
          <w:kern w:val="0"/>
          <w:sz w:val="22"/>
          <w:szCs w:val="22"/>
          <w:lang w:eastAsia="en-US"/>
        </w:rPr>
        <w:t>规审查不能靠自己。必须确定哪些业务节点应该被触发合规审核，即新市场开拓前、新渠道模式设计前、重大合作协议签订前、并购交易立项前、参与行业协会集体行动前。合规审查意见要成为业务决策的必经环节，没有合规审查意见的业务不能进行决策。市场监管总局开展专项行动提出将竞争合规融入到投资决策、合同管理等各个环节之中，那么落实该要求的方法就是设置一个明确的“合规触发点”。</w:t>
      </w:r>
    </w:p>
    <w:p w14:paraId="26E45D3D">
      <w:pPr>
        <w:widowControl/>
        <w:spacing w:before="40" w:after="80" w:line="360" w:lineRule="auto"/>
        <w:ind w:firstLine="440"/>
        <w:jc w:val="left"/>
        <w:rPr>
          <w:rFonts w:ascii="宋体" w:eastAsia="宋体" w:hAnsi="宋体" w:cs="宋体" w:hint="eastAsia"/>
          <w:b w:val="0"/>
          <w:color w:val="0000FF"/>
          <w:kern w:val="0"/>
          <w:sz w:val="22"/>
          <w:szCs w:val="22"/>
          <w:lang w:eastAsia="en-US"/>
        </w:rPr>
      </w:pPr>
      <w:r>
        <w:rPr>
          <w:rFonts w:ascii="黑体" w:eastAsia="黑体" w:hAnsi="黑体" w:hint="eastAsia"/>
          <w:b/>
          <w:color w:val="0000FF"/>
          <w:sz w:val="21"/>
        </w:rPr>
        <w:t>〔行动建议〕</w:t>
      </w:r>
      <w:r>
        <w:rPr>
          <w:rFonts w:ascii="宋体" w:eastAsia="宋体" w:hAnsi="宋体" w:cs="宋体" w:hint="eastAsia"/>
          <w:b w:val="0"/>
          <w:color w:val="0000FF"/>
          <w:kern w:val="0"/>
          <w:sz w:val="22"/>
          <w:szCs w:val="22"/>
          <w:lang w:eastAsia="en-US"/>
        </w:rPr>
        <w:t>将合规审查嵌入企业审批流程，不能另外建立一个系统。在合同审批的流程里加入反垄断合规审查节点，在投资决策流程里加入合规风险评价的前置条件。防止产生业务先行、合规补票的现象。对在多个法域经营的企业合规审查节点还要加上“目标市场是否为高风险法域”的判定，</w:t>
      </w:r>
      <w:r>
        <w:rPr>
          <w:rFonts w:ascii="宋体" w:eastAsia="宋体" w:hAnsi="宋体" w:cs="宋体" w:hint="eastAsia"/>
          <w:b w:val="0"/>
          <w:color w:val="0000FF"/>
          <w:kern w:val="0"/>
          <w:sz w:val="22"/>
          <w:szCs w:val="22"/>
          <w:lang w:eastAsia="zh-CN"/>
        </w:rPr>
        <w:t>在</w:t>
      </w:r>
      <w:r>
        <w:rPr>
          <w:rFonts w:ascii="宋体" w:eastAsia="宋体" w:hAnsi="宋体" w:cs="宋体" w:hint="eastAsia"/>
          <w:b w:val="0"/>
          <w:color w:val="0000FF"/>
          <w:kern w:val="0"/>
          <w:sz w:val="22"/>
          <w:szCs w:val="22"/>
          <w:lang w:eastAsia="en-US"/>
        </w:rPr>
        <w:t>东盟市场交易或者行为占比大的时候，审查标准也要有所提高。</w:t>
      </w:r>
    </w:p>
    <w:p w14:paraId="22BD4293">
      <w:pPr>
        <w:widowControl/>
        <w:spacing w:before="40" w:after="80" w:line="360" w:lineRule="auto"/>
        <w:ind w:firstLine="440"/>
        <w:jc w:val="left"/>
        <w:rPr>
          <w:rFonts w:ascii="宋体" w:eastAsia="宋体" w:hAnsi="宋体" w:cs="宋体" w:hint="eastAsia"/>
          <w:b w:val="0"/>
          <w:color w:val="0000FF"/>
          <w:kern w:val="0"/>
          <w:sz w:val="22"/>
          <w:szCs w:val="22"/>
          <w:lang w:eastAsia="en-US"/>
        </w:rPr>
      </w:pPr>
    </w:p>
    <w:p w14:paraId="37248CE3">
      <w:pPr>
        <w:widowControl/>
        <w:spacing w:before="240" w:after="120" w:line="360" w:lineRule="auto"/>
        <w:jc w:val="left"/>
        <w:rPr>
          <w:rFonts w:ascii="黑体" w:eastAsia="黑体" w:hAnsi="黑体" w:cs="宋体" w:hint="eastAsia"/>
          <w:b/>
          <w:color w:val="0000FF"/>
          <w:kern w:val="0"/>
          <w:sz w:val="26"/>
          <w:szCs w:val="22"/>
          <w:lang w:eastAsia="en-US"/>
        </w:rPr>
      </w:pPr>
    </w:p>
    <w:p w14:paraId="52675D2D">
      <w:pPr>
        <w:widowControl/>
        <w:spacing w:before="240" w:after="120" w:line="360" w:lineRule="auto"/>
        <w:jc w:val="left"/>
        <w:rPr>
          <w:rFonts w:ascii="黑体" w:eastAsia="黑体" w:hAnsi="黑体" w:cs="宋体" w:hint="eastAsia"/>
          <w:b/>
          <w:color w:val="0000FF"/>
          <w:kern w:val="0"/>
          <w:sz w:val="26"/>
          <w:szCs w:val="22"/>
          <w:lang w:eastAsia="en-US"/>
        </w:rPr>
      </w:pPr>
      <w:r>
        <w:rPr>
          <w:rFonts w:ascii="黑体" w:eastAsia="黑体" w:hAnsi="黑体" w:cs="宋体" w:hint="eastAsia"/>
          <w:b/>
          <w:color w:val="0000FF"/>
          <w:kern w:val="0"/>
          <w:sz w:val="26"/>
          <w:szCs w:val="22"/>
          <w:lang w:eastAsia="en-US"/>
        </w:rPr>
        <w:t>三、重点场景的合规操作</w:t>
      </w:r>
    </w:p>
    <w:p w14:paraId="4E036A4E">
      <w:pPr>
        <w:widowControl/>
        <w:spacing w:before="240" w:after="80" w:line="360" w:lineRule="auto"/>
        <w:jc w:val="left"/>
        <w:rPr>
          <w:rFonts w:ascii="黑体" w:eastAsia="黑体" w:hAnsi="黑体" w:cs="宋体" w:hint="eastAsia"/>
          <w:b/>
          <w:color w:val="0000FF"/>
          <w:kern w:val="0"/>
          <w:sz w:val="24"/>
          <w:szCs w:val="22"/>
          <w:lang w:eastAsia="en-US"/>
        </w:rPr>
      </w:pPr>
      <w:r>
        <w:rPr>
          <w:rFonts w:ascii="黑体" w:eastAsia="黑体" w:hAnsi="黑体" w:cs="宋体" w:hint="eastAsia"/>
          <w:b/>
          <w:color w:val="0000FF"/>
          <w:kern w:val="0"/>
          <w:sz w:val="24"/>
          <w:szCs w:val="22"/>
          <w:lang w:eastAsia="en-US"/>
        </w:rPr>
        <w:t>（一）多法域申报与调查的协调</w:t>
      </w:r>
    </w:p>
    <w:p w14:paraId="32150F4B">
      <w:pPr>
        <w:widowControl/>
        <w:spacing w:before="40" w:after="80" w:line="360" w:lineRule="auto"/>
        <w:ind w:firstLine="440"/>
        <w:jc w:val="left"/>
        <w:rPr>
          <w:rFonts w:ascii="宋体" w:eastAsia="宋体" w:hAnsi="宋体" w:cs="宋体" w:hint="eastAsia"/>
          <w:b w:val="0"/>
          <w:color w:val="0000FF"/>
          <w:kern w:val="0"/>
          <w:sz w:val="22"/>
          <w:szCs w:val="22"/>
          <w:lang w:eastAsia="en-US"/>
        </w:rPr>
      </w:pPr>
      <w:r>
        <w:rPr>
          <w:rFonts w:ascii="黑体" w:eastAsia="黑体" w:hAnsi="黑体" w:hint="eastAsia"/>
          <w:b/>
          <w:color w:val="0000FF"/>
          <w:sz w:val="21"/>
        </w:rPr>
        <w:t>〔落地指引〕一</w:t>
      </w:r>
      <w:r>
        <w:rPr>
          <w:rFonts w:ascii="宋体" w:eastAsia="宋体" w:hAnsi="宋体" w:cs="宋体" w:hint="eastAsia"/>
          <w:b w:val="0"/>
          <w:color w:val="0000FF"/>
          <w:kern w:val="0"/>
          <w:sz w:val="22"/>
          <w:szCs w:val="22"/>
          <w:lang w:eastAsia="en-US"/>
        </w:rPr>
        <w:t>笔跨境并购交易常常会引发生地、目标地的申报义务。根据法域对申报门槛、执法力度、敏感行业以及估计的审查时长进行标注。对涉及到几个法域的交易，应当指定一个合规的牵头部门对各个法域的申报文件以及申报时间进行统一的安排，防止某个法域的申报延误导致整个交易的交割时间受到影响。调查应对情境下，若某行为在不同的国家或地区产生调查，就应当评估各有关国家或地区的调查之间是否有关联，并且在应对策略上协调一致，防止某国调查结论被另一国用作不利证据。</w:t>
      </w:r>
    </w:p>
    <w:p w14:paraId="1C9D424E">
      <w:pPr>
        <w:widowControl/>
        <w:spacing w:before="40" w:after="80" w:line="360" w:lineRule="auto"/>
        <w:ind w:firstLine="440"/>
        <w:jc w:val="left"/>
        <w:rPr>
          <w:rFonts w:ascii="宋体" w:eastAsia="宋体" w:hAnsi="宋体" w:cs="宋体" w:hint="eastAsia"/>
          <w:b w:val="0"/>
          <w:color w:val="0000FF"/>
          <w:kern w:val="0"/>
          <w:sz w:val="22"/>
          <w:szCs w:val="22"/>
          <w:lang w:eastAsia="en-US"/>
        </w:rPr>
      </w:pPr>
      <w:r>
        <w:rPr>
          <w:rFonts w:ascii="黑体" w:eastAsia="黑体" w:hAnsi="黑体" w:hint="eastAsia"/>
          <w:b/>
          <w:color w:val="0000FF"/>
          <w:sz w:val="21"/>
        </w:rPr>
        <w:t>〔行动建议〕总</w:t>
      </w:r>
      <w:r>
        <w:rPr>
          <w:rFonts w:ascii="宋体" w:eastAsia="宋体" w:hAnsi="宋体" w:cs="宋体" w:hint="eastAsia"/>
          <w:b w:val="0"/>
          <w:color w:val="0000FF"/>
          <w:kern w:val="0"/>
          <w:sz w:val="22"/>
          <w:szCs w:val="22"/>
          <w:lang w:eastAsia="en-US"/>
        </w:rPr>
        <w:t>部合规部应当搭建跨法域的信息共享平台，对各个市场执法情况以及典型案例进行汇总。但是某一国的合规经验不能完全搬到另外一国。欧盟对于转售价格维持采取的是不同的执法逻辑，东盟对于渠道控制的审查侧重点也大相径庭，同样的一个经销协议模板在不同的市场中会受到完全不一样的合规评价。市场监管总局利用《反垄断简讯》等渠道将境外反垄断执法信息告知企业，针对光伏等行业发布风险提示，出海企业可以通过跟踪这些信息渠道来了解风险。</w:t>
      </w:r>
    </w:p>
    <w:p w14:paraId="5AAD320C">
      <w:pPr>
        <w:widowControl/>
        <w:spacing w:before="240" w:after="80" w:line="360" w:lineRule="auto"/>
        <w:jc w:val="left"/>
        <w:rPr>
          <w:rFonts w:ascii="黑体" w:eastAsia="黑体" w:hAnsi="黑体" w:cs="宋体" w:hint="eastAsia"/>
          <w:b/>
          <w:color w:val="0000FF"/>
          <w:kern w:val="0"/>
          <w:sz w:val="24"/>
          <w:szCs w:val="22"/>
          <w:lang w:eastAsia="en-US"/>
        </w:rPr>
      </w:pPr>
    </w:p>
    <w:p w14:paraId="0C30202F">
      <w:pPr>
        <w:widowControl/>
        <w:spacing w:before="240" w:after="80" w:line="360" w:lineRule="auto"/>
        <w:jc w:val="left"/>
        <w:rPr>
          <w:rFonts w:ascii="黑体" w:eastAsia="黑体" w:hAnsi="黑体" w:cs="宋体" w:hint="eastAsia"/>
          <w:b/>
          <w:color w:val="0000FF"/>
          <w:kern w:val="0"/>
          <w:sz w:val="24"/>
          <w:szCs w:val="22"/>
          <w:lang w:eastAsia="en-US"/>
        </w:rPr>
      </w:pPr>
      <w:r>
        <w:rPr>
          <w:rFonts w:ascii="黑体" w:eastAsia="黑体" w:hAnsi="黑体" w:cs="宋体" w:hint="eastAsia"/>
          <w:b/>
          <w:color w:val="0000FF"/>
          <w:kern w:val="0"/>
          <w:sz w:val="24"/>
          <w:szCs w:val="22"/>
          <w:lang w:eastAsia="en-US"/>
        </w:rPr>
        <w:t>（二）与国内监管的衔接</w:t>
      </w:r>
    </w:p>
    <w:p w14:paraId="67BB8B42">
      <w:pPr>
        <w:widowControl/>
        <w:spacing w:before="40" w:after="80" w:line="360" w:lineRule="auto"/>
        <w:ind w:firstLine="440"/>
        <w:jc w:val="left"/>
        <w:rPr>
          <w:rFonts w:ascii="宋体" w:eastAsia="宋体" w:hAnsi="宋体" w:cs="宋体" w:hint="eastAsia"/>
          <w:b w:val="0"/>
          <w:color w:val="0000FF"/>
          <w:kern w:val="0"/>
          <w:sz w:val="22"/>
          <w:szCs w:val="22"/>
          <w:lang w:eastAsia="en-US"/>
        </w:rPr>
      </w:pPr>
      <w:r>
        <w:rPr>
          <w:rFonts w:ascii="黑体" w:eastAsia="黑体" w:hAnsi="黑体" w:hint="eastAsia"/>
          <w:b/>
          <w:color w:val="0000FF"/>
          <w:sz w:val="21"/>
        </w:rPr>
        <w:t>〔行动建议〕</w:t>
      </w:r>
      <w:r>
        <w:rPr>
          <w:rFonts w:ascii="宋体" w:eastAsia="宋体" w:hAnsi="宋体" w:cs="宋体" w:hint="eastAsia"/>
          <w:b w:val="0"/>
          <w:color w:val="0000FF"/>
          <w:kern w:val="0"/>
          <w:sz w:val="22"/>
          <w:szCs w:val="22"/>
          <w:lang w:eastAsia="en-US"/>
        </w:rPr>
        <w:t>2026年市场监管总局专项行动规定，“防范‘内卷外化’相关海外反垄断风险”。其实际所指的是企业在国内市场上的竞争行为（低价竞标、渠道排他性安排）如果完全照搬至海外就会造成境外反垄断执法。出海企业要主动联系商务部门、市场监管部门合规指导资源，把境外反垄断合规工作融入到企业的整体合规体系当中。境外反垄断合规不是孤立存在的，和ODI监管合规、出口管制合规、数据跨境合规一起组成出海企业合规的基石。提出集团合规委员会要统筹协调各个专项合规工作，防止出现各管一摊的情况造成风险的盲区。市场监管总局联合国家发改委、商务部、国务院国资委等有关部门就风险进行会商，企业可经由行业主管部门获取有关的预警信息。</w:t>
      </w:r>
    </w:p>
    <w:p w14:paraId="090FAACF">
      <w:pPr>
        <w:widowControl/>
        <w:spacing w:before="40" w:after="80" w:line="360" w:lineRule="auto"/>
        <w:ind w:firstLine="440"/>
        <w:jc w:val="left"/>
        <w:rPr>
          <w:rFonts w:ascii="宋体" w:eastAsia="宋体" w:hAnsi="宋体" w:cs="宋体" w:hint="eastAsia"/>
          <w:b w:val="0"/>
          <w:color w:val="0000FF"/>
          <w:kern w:val="0"/>
          <w:sz w:val="22"/>
          <w:szCs w:val="22"/>
          <w:lang w:eastAsia="en-US"/>
        </w:rPr>
      </w:pPr>
    </w:p>
    <w:p w14:paraId="69E55447">
      <w:pPr>
        <w:pStyle w:val="NormalWeb"/>
        <w:keepNext w:val="0"/>
        <w:keepLines w:val="0"/>
        <w:widowControl/>
        <w:suppressLineNumbers w:val="0"/>
        <w:spacing w:before="200" w:beforeAutospacing="0" w:after="80" w:afterAutospacing="0" w:line="18" w:lineRule="atLeast"/>
        <w:ind w:left="0" w:right="0"/>
        <w:jc w:val="both"/>
        <w:rPr>
          <w:rFonts w:ascii="宋体" w:eastAsia="宋体" w:hAnsi="宋体" w:cs="宋体" w:hint="eastAsia"/>
          <w:b w:val="0"/>
          <w:bCs w:val="0"/>
          <w:color w:val="0000FF"/>
          <w:sz w:val="22"/>
          <w:szCs w:val="22"/>
        </w:rPr>
      </w:pPr>
      <w:r>
        <w:rPr>
          <w:rFonts w:ascii="楷体" w:eastAsia="楷体" w:hAnsi="楷体" w:cs="楷体" w:hint="eastAsia"/>
          <w:b/>
          <w:bCs/>
          <w:i w:val="0"/>
          <w:iCs w:val="0"/>
          <w:color w:val="0000FF"/>
          <w:spacing w:val="0"/>
          <w:w w:val="100"/>
          <w:sz w:val="24"/>
          <w:szCs w:val="24"/>
          <w:vertAlign w:val="baseline"/>
          <w:lang w:val="en-US" w:eastAsia="zh-CN"/>
        </w:rPr>
        <w:t>裁</w:t>
      </w:r>
      <w:r>
        <w:rPr>
          <w:rFonts w:ascii="楷体" w:eastAsia="楷体" w:hAnsi="楷体" w:cs="楷体" w:hint="eastAsia"/>
          <w:b/>
          <w:bCs/>
          <w:i w:val="0"/>
          <w:iCs w:val="0"/>
          <w:color w:val="0000FF"/>
          <w:spacing w:val="0"/>
          <w:w w:val="100"/>
          <w:sz w:val="24"/>
          <w:szCs w:val="24"/>
          <w:vertAlign w:val="baseline"/>
        </w:rPr>
        <w:t>判分析</w:t>
      </w:r>
    </w:p>
    <w:p w14:paraId="161D4B68">
      <w:pPr>
        <w:widowControl/>
        <w:spacing w:before="40" w:after="80" w:line="360" w:lineRule="auto"/>
        <w:ind w:firstLine="440"/>
        <w:jc w:val="left"/>
        <w:rPr>
          <w:rFonts w:ascii="宋体" w:eastAsia="宋体" w:hAnsi="宋体" w:cs="宋体" w:hint="eastAsia"/>
          <w:b w:val="0"/>
          <w:color w:val="0000FF"/>
          <w:kern w:val="0"/>
          <w:sz w:val="22"/>
          <w:szCs w:val="22"/>
          <w:lang w:eastAsia="en-US"/>
        </w:rPr>
      </w:pPr>
      <w:r>
        <w:rPr>
          <w:rFonts w:ascii="宋体" w:eastAsia="宋体" w:hAnsi="宋体" w:cs="宋体" w:hint="eastAsia"/>
          <w:b w:val="0"/>
          <w:color w:val="0000FF"/>
          <w:kern w:val="0"/>
          <w:sz w:val="22"/>
          <w:szCs w:val="22"/>
          <w:lang w:eastAsia="en-US"/>
        </w:rPr>
        <w:t>KPPU认为该企业的行为违反了印尼竞争法第14条关于纵向垄断协议的规定以及第19条关于滥用市场支配地位的规定。具体的认定行为有以下几项，要求经销商只能从企业指定的三家本地子公司处采购设备，实际上剥夺了经销商的采购自由；绕过经销商直接向终端用户供货，降低经销商的价值；对不同的经销商采取不同的付款条件、销售指标，造成一些经销商无法履约而被市场所淘汰。KPPU的审查逻辑很简单，就是企业所处的市场占有率越高，“渠道优化”这种在国内习以为常的做法，在东盟法律体系下就可能被认定为排他性的行为。该企业在国内市场所采用的渠道管理模式已经得到了长时间的检验，被人们认为是“有效”的商业安排，但是其背后的逻辑就是利用对采购渠道和终端客户的控制来加强品牌的掌控，在东盟的竞争法框架下则被认定为限制了经销商的自主经营权以及市场间的竞争结构。</w:t>
      </w:r>
    </w:p>
    <w:p w14:paraId="37E713DD">
      <w:pPr>
        <w:pStyle w:val="NormalWeb"/>
        <w:keepNext w:val="0"/>
        <w:keepLines w:val="0"/>
        <w:widowControl/>
        <w:suppressLineNumbers w:val="0"/>
        <w:spacing w:before="200" w:beforeAutospacing="0" w:after="80" w:afterAutospacing="0" w:line="18" w:lineRule="atLeast"/>
        <w:ind w:left="0" w:right="0"/>
        <w:jc w:val="both"/>
        <w:rPr>
          <w:rFonts w:ascii="楷体" w:eastAsia="楷体" w:hAnsi="楷体" w:cs="楷体" w:hint="eastAsia"/>
          <w:b/>
          <w:bCs/>
          <w:i w:val="0"/>
          <w:iCs w:val="0"/>
          <w:color w:val="0000FF"/>
          <w:spacing w:val="0"/>
          <w:w w:val="100"/>
          <w:sz w:val="24"/>
          <w:szCs w:val="24"/>
          <w:vertAlign w:val="baseline"/>
          <w:lang w:val="en-US" w:eastAsia="zh-CN"/>
        </w:rPr>
      </w:pPr>
      <w:r>
        <w:rPr>
          <w:rFonts w:ascii="楷体" w:eastAsia="楷体" w:hAnsi="楷体" w:cs="楷体" w:hint="eastAsia"/>
          <w:b/>
          <w:bCs/>
          <w:i w:val="0"/>
          <w:iCs w:val="0"/>
          <w:color w:val="0000FF"/>
          <w:spacing w:val="0"/>
          <w:w w:val="100"/>
          <w:sz w:val="24"/>
          <w:szCs w:val="24"/>
          <w:vertAlign w:val="baseline"/>
          <w:lang w:val="en-US" w:eastAsia="zh-CN"/>
        </w:rPr>
        <w:t>合规建议</w:t>
      </w:r>
    </w:p>
    <w:p w14:paraId="5F76FE77">
      <w:pPr>
        <w:widowControl/>
        <w:spacing w:before="40" w:after="80" w:line="360" w:lineRule="auto"/>
        <w:ind w:firstLine="440"/>
        <w:jc w:val="left"/>
        <w:rPr>
          <w:rFonts w:ascii="宋体" w:eastAsia="宋体" w:hAnsi="宋体" w:cs="宋体" w:hint="eastAsia"/>
          <w:b w:val="0"/>
          <w:color w:val="0000FF"/>
          <w:kern w:val="0"/>
          <w:sz w:val="22"/>
          <w:szCs w:val="22"/>
          <w:lang w:eastAsia="en-US"/>
        </w:rPr>
      </w:pPr>
      <w:r>
        <w:rPr>
          <w:rFonts w:ascii="宋体" w:eastAsia="宋体" w:hAnsi="宋体" w:cs="宋体" w:hint="eastAsia"/>
          <w:b w:val="0"/>
          <w:color w:val="0000FF"/>
          <w:kern w:val="0"/>
          <w:sz w:val="22"/>
          <w:szCs w:val="22"/>
          <w:lang w:eastAsia="en-US"/>
        </w:rPr>
        <w:t>本案的主要警示就是风险来源于内部。调查不是因为企业的商业伙伴而被调查，是企业自己。因此境外反垄断风险一般就潜藏于合作关系当中，在企业制订渠道政策的时候，除了要考量商业上的效率之外，还要顾及合作方所感受到的法律风险。中国企业在东南亚市场开展经营活动时要对各个国家的经销模式的反垄断合规性做逐一的评价。市场份额大的业务线须对渠道结构设计加以注意，不能把国内的销售模式直接搬到海外去。对有类似渠道安排的业务，应主动开展合规自查，看是否应该调整经销商协议中排他性条款、采购渠道限制的约定。企业已经明确表示会考虑向印尼商事法庭提出诉讼，也可以通过向银行交纳20%的保证金来中止裁决的执行，但是诉讼本身所造成的费用以及时间成本，就是合规疏忽的代价。</w:t>
      </w:r>
    </w:p>
    <w:p w14:paraId="6E5354CE">
      <w:pPr>
        <w:widowControl/>
        <w:spacing w:before="240" w:after="80" w:line="360" w:lineRule="auto"/>
        <w:jc w:val="left"/>
        <w:rPr>
          <w:rFonts w:ascii="黑体" w:eastAsia="黑体" w:hAnsi="黑体" w:cs="宋体" w:hint="eastAsia"/>
          <w:b/>
          <w:color w:val="0000FF"/>
          <w:kern w:val="0"/>
          <w:sz w:val="24"/>
          <w:szCs w:val="22"/>
          <w:lang w:eastAsia="en-US"/>
        </w:rPr>
      </w:pPr>
      <w:r>
        <w:rPr>
          <w:rFonts w:ascii="黑体" w:eastAsia="黑体" w:hAnsi="黑体" w:cs="宋体" w:hint="eastAsia"/>
          <w:b/>
          <w:color w:val="0000FF"/>
          <w:kern w:val="0"/>
          <w:sz w:val="24"/>
          <w:szCs w:val="22"/>
          <w:lang w:eastAsia="en-US"/>
        </w:rPr>
        <w:t>本章小结</w:t>
      </w:r>
    </w:p>
    <w:p w14:paraId="391CEF95">
      <w:pPr>
        <w:widowControl/>
        <w:spacing w:before="40" w:after="80" w:line="360" w:lineRule="auto"/>
        <w:ind w:firstLine="440"/>
        <w:jc w:val="left"/>
        <w:rPr>
          <w:rFonts w:ascii="宋体" w:eastAsia="宋体" w:hAnsi="宋体" w:cs="宋体" w:hint="eastAsia"/>
          <w:b w:val="0"/>
          <w:color w:val="0000FF"/>
          <w:kern w:val="0"/>
          <w:sz w:val="22"/>
          <w:szCs w:val="22"/>
          <w:lang w:eastAsia="en-US"/>
        </w:rPr>
      </w:pPr>
      <w:r>
        <w:rPr>
          <w:rFonts w:ascii="宋体" w:eastAsia="宋体" w:hAnsi="宋体" w:cs="宋体" w:hint="eastAsia"/>
          <w:b w:val="0"/>
          <w:color w:val="0000FF"/>
          <w:kern w:val="0"/>
          <w:sz w:val="22"/>
          <w:szCs w:val="22"/>
          <w:lang w:eastAsia="en-US"/>
        </w:rPr>
        <w:t>境外反垄断合规不是“知道规则就足够了”。印尼KPPU开出的1.97亿罚款之后，美国维生素C诉讼长达17年的拉锯战也存在风险。企业所要建立的应当是包含风险识别、机制落实和场景运用的全过程的管理闭环。根据市场监管总局2026年开展的专项行动，以“高层统筹、部门牵头、岗位落实”为组织原则，“一国一策”为执行方式，把反垄断合规融入到投资决策、合同管理、日常经营中。合规管理的目的不是消除所有的商业风险，而是在面对风险的时候，企业可以有预案、有资源、有判断。</w:t>
      </w:r>
    </w:p>
    <w:p w14:paraId="2085A711">
      <w:pPr>
        <w:rPr>
          <w:rFonts w:ascii="宋体" w:eastAsia="宋体" w:hAnsi="宋体" w:cs="宋体" w:hint="eastAsia"/>
          <w:b w:val="0"/>
          <w:bCs w:val="0"/>
          <w:color w:val="0000FF"/>
          <w:sz w:val="22"/>
          <w:szCs w:val="22"/>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
        <w:separator/>
      </w:r>
    </w:p>
  </w:footnote>
  <w:footnote w:type="continuationSeparator" w:id="1">
    <w:p>
      <w:r>
        <w:continuationSeparator/>
      </w:r>
    </w:p>
  </w:footnote>
  <w:footnote w:id="2">
    <w:p w14:paraId="4F9F43B6">
      <w:pPr>
        <w:pStyle w:val="FootnoteText"/>
        <w:snapToGrid w:val="0"/>
      </w:pPr>
      <w:r>
        <w:rPr>
          <w:rStyle w:val="FootnoteReference"/>
        </w:rPr>
        <w:t>[</w:t>
      </w:r>
      <w:r>
        <w:rPr>
          <w:rStyle w:val="FootnoteReference"/>
        </w:rPr>
        <w:footnoteRef/>
      </w:r>
      <w:r>
        <w:rPr>
          <w:rStyle w:val="FootnoteReference"/>
        </w:rPr>
        <w:t>]</w:t>
      </w:r>
      <w:r>
        <w:t xml:space="preserve"> </w:t>
      </w:r>
      <w:r>
        <w:rPr>
          <w:rFonts w:hint="eastAsia"/>
        </w:rPr>
        <w:t>王卫玲,仇嘉,贾长燕,等.双重质量产品问题研究[J].标准科学,2025,(9):122-126.</w:t>
      </w:r>
    </w:p>
  </w:footnote>
  <w:footnote w:id="3">
    <w:p w14:paraId="237A977F">
      <w:pPr>
        <w:pStyle w:val="FootnoteText"/>
        <w:snapToGrid w:val="0"/>
      </w:pPr>
      <w:r>
        <w:rPr>
          <w:rStyle w:val="FootnoteReference"/>
        </w:rPr>
        <w:t>[</w:t>
      </w:r>
      <w:r>
        <w:rPr>
          <w:rStyle w:val="FootnoteReference"/>
        </w:rPr>
        <w:footnoteRef/>
      </w:r>
      <w:r>
        <w:rPr>
          <w:rStyle w:val="FootnoteReference"/>
        </w:rPr>
        <w:t>]</w:t>
      </w:r>
      <w:r>
        <w:t xml:space="preserve"> </w:t>
      </w:r>
      <w:r>
        <w:rPr>
          <w:rFonts w:hint="eastAsia"/>
        </w:rPr>
        <w:t>欧盟《赋权消费者实现绿色转型指令》于2024年3月26日生效</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28013E"/>
    <w:rsid w:val="2728013E"/>
    <w:rsid w:val="52817C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qFormat="1"/>
    <w:lsdException w:name="annotation text" w:semiHidden="0" w:uiPriority="0" w:unhideWhenUsed="0"/>
    <w:lsdException w:name="header" w:semiHidden="0" w:uiPriority="0" w:unhideWhenUsed="0"/>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qFormat="1"/>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styleId="FootnoteText">
    <w:name w:val="footnote text"/>
    <w:basedOn w:val="Normal"/>
    <w:qFormat/>
    <w:pPr>
      <w:snapToGrid w:val="0"/>
      <w:jc w:val="left"/>
    </w:pPr>
    <w:rPr>
      <w:sz w:val="18"/>
    </w:rPr>
  </w:style>
  <w:style w:type="paragraph" w:styleId="NormalWeb">
    <w:name w:val="Normal (Web)"/>
    <w:basedOn w:val="Normal"/>
    <w:uiPriority w:val="99"/>
    <w:qFormat/>
    <w:pPr>
      <w:spacing w:before="100" w:beforeAutospacing="1" w:after="100" w:afterAutospacing="1"/>
      <w:ind w:left="0" w:right="0"/>
      <w:jc w:val="left"/>
    </w:pPr>
    <w:rPr>
      <w:kern w:val="0"/>
      <w:sz w:val="24"/>
      <w:lang w:val="en-US" w:eastAsia="zh-CN" w:bidi="ar"/>
    </w:rPr>
  </w:style>
  <w:style w:type="character" w:styleId="FootnoteReference">
    <w:name w:val="footnote reference"/>
    <w:basedOn w:val="DefaultParagraphFont"/>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2026-11-04T16:36:00Z</dcterms:created>
  <dcterms:modified xsi:type="dcterms:W3CDTF">2026-11-04T16:43:52Z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8B3FD7AB064E4C7EA1B9E2B49AA11386_11</vt:lpwstr>
  </property>
  <property fmtid="{D5CDD505-2E9C-101B-9397-08002B2CF9AE}" pid="3" name="KSOProductBuildVer">
    <vt:lpwstr>2052-12.1.0.29161</vt:lpwstr>
  </property>
  <property fmtid="{D5CDD505-2E9C-101B-9397-08002B2CF9AE}" pid="4" name="KSOTemplateDocerSaveRecord">
    <vt:lpwstr>eyJoZGlkIjoiMGM2YzIzNzlkNTIxMmZkNmVjZmE0YjJkNTUxYmMwZWYiLCJ1c2VySWQiOiI1ODIxNTk5MDgifQ==</vt:lpwstr>
  </property>
</Properties>
</file>