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380ED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bookmarkStart w:id="0" w:name="_GoBack"/>
      <w:bookmarkEnd w:id="0"/>
      <w:r>
        <w:rPr>
          <w:rFonts w:ascii="宋体" w:eastAsia="宋体" w:hAnsi="宋体" w:cs="宋体" w:hint="eastAsia"/>
          <w:b w:val="0"/>
          <w:bCs/>
          <w:sz w:val="21"/>
          <w:szCs w:val="21"/>
        </w:rPr>
        <w:t>钢筋工程施工常见缺陷分析及现场管控对策研究</w:t>
      </w:r>
    </w:p>
    <w:p w14:paraId="7947D9A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摘要：</w:t>
      </w:r>
      <w:r>
        <w:rPr>
          <w:rFonts w:ascii="宋体" w:eastAsia="宋体" w:hAnsi="宋体" w:cs="宋体" w:hint="eastAsia"/>
          <w:b w:val="0"/>
          <w:bCs/>
          <w:sz w:val="21"/>
          <w:szCs w:val="21"/>
        </w:rPr>
        <w:t>钢筋工程是混凝土结构形成骨架的主要工序，隐蔽工程缺陷若不能在浇筑前发现，就会一直存在构件内，只能依靠剔凿修补甚至加固的方式来补救。本文以广东水电三局承建的三局工业区1号地模具制品生产项目为研究对象，通过对该项目钢筋总用量约4214吨、基础、地下室及地上三个施工阶段工程实际的分析，从下料翻样、弯钩加工、接头连接、绑扎安装、保护层控制等工序入手，分析了造成钢筋工程常见质量缺陷的原因，根据上述原因提出了以试验批量进场验收、等强代换计算、接头百分比控制、水泥砂浆垫块及钢筋支架标准化、质量会诊滚动纠偏为主现场控制措施。实践证明，把防控关口前移到翻样复核、隐蔽验收环节，依靠质量数据的频率统计推动质量持续改进，可以大大的减少返工损耗，保证主体结构施工质量。</w:t>
      </w:r>
    </w:p>
    <w:p w14:paraId="4D51B49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关键词：</w:t>
      </w:r>
      <w:r>
        <w:rPr>
          <w:rFonts w:ascii="宋体" w:eastAsia="宋体" w:hAnsi="宋体" w:cs="宋体" w:hint="eastAsia"/>
          <w:b w:val="0"/>
          <w:bCs/>
          <w:sz w:val="21"/>
          <w:szCs w:val="21"/>
        </w:rPr>
        <w:t>钢筋工程，质量缺陷，等强代换，接头百分率，质量会诊，主体结构</w:t>
      </w:r>
    </w:p>
    <w:p w14:paraId="3583582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1" w:name="heading_0"/>
      <w:r>
        <w:rPr>
          <w:rFonts w:ascii="宋体" w:eastAsia="宋体" w:hAnsi="宋体" w:cs="宋体" w:hint="eastAsia"/>
          <w:b w:val="0"/>
          <w:bCs/>
          <w:sz w:val="21"/>
          <w:szCs w:val="21"/>
        </w:rPr>
        <w:t>引言</w:t>
      </w:r>
      <w:bookmarkEnd w:id="1"/>
      <w:r>
        <w:rPr>
          <w:rFonts w:ascii="宋体" w:eastAsia="宋体" w:hAnsi="宋体" w:cs="宋体" w:hint="eastAsia"/>
          <w:b w:val="0"/>
          <w:bCs/>
          <w:sz w:val="21"/>
          <w:szCs w:val="21"/>
          <w:lang w:eastAsia="zh-CN"/>
        </w:rPr>
        <w:t>：钢</w:t>
      </w:r>
      <w:r>
        <w:rPr>
          <w:rFonts w:ascii="宋体" w:eastAsia="宋体" w:hAnsi="宋体" w:cs="宋体" w:hint="eastAsia"/>
          <w:b w:val="0"/>
          <w:bCs/>
          <w:sz w:val="21"/>
          <w:szCs w:val="21"/>
        </w:rPr>
        <w:t>筋混凝土结构能否满足设计要求，很大程度上取决于钢筋是否按照规定的规格、间距、锚固长度和连接方式进入混凝土。钢筋属于结构的受力骨架，加工和安装隐蔽性大、返工费用高，受人员及机械因素影响大，一个漏检处就可能造成大面积的构件出现问题。伴随着质量强国战略的不断推进，装配式建造以及智能建造的发展速度也在加快，行业对于钢筋加工精度、连接可靠性和保护层控制有着比以往更加严格的标准，现场管理也从发现问题后修复，转变为了源头把控。钢筋工程是主体结构成型的第一道工序，钢筋工程的好坏决定后续模板、混凝土、装饰装修工程的施工进度，对钢筋工程常见问题进行研究并提出可行的防治措施有很强的现实意义。</w:t>
      </w:r>
    </w:p>
    <w:p w14:paraId="0FE6C52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本文所依托的三局工业区1号地模具制品生产项目是由广东水电三局承建的，建筑物抗震设防烈度为一到三级，主体为现浇钢筋混凝土框架结构，钢筋总重约4214吨，从基础施工、地下室土建到地上土建三个阶段都用到了。项目钢筋从加工场按配料单统一加工后，经由运输到达工作面，在作业面上工序交错，分散作业面，为钢筋工程全过程质量管控研究提供了典型的实例。</w:t>
      </w:r>
    </w:p>
    <w:p w14:paraId="4E836CE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2" w:name="heading_1"/>
      <w:r>
        <w:rPr>
          <w:rFonts w:ascii="宋体" w:eastAsia="宋体" w:hAnsi="宋体" w:cs="宋体" w:hint="eastAsia"/>
          <w:b w:val="0"/>
          <w:bCs/>
          <w:sz w:val="21"/>
          <w:szCs w:val="21"/>
          <w:lang w:val="en-US" w:eastAsia="zh-CN"/>
        </w:rPr>
        <w:t>1</w:t>
      </w:r>
      <w:r>
        <w:rPr>
          <w:rFonts w:ascii="宋体" w:eastAsia="宋体" w:hAnsi="宋体" w:cs="宋体" w:hint="eastAsia"/>
          <w:b w:val="0"/>
          <w:bCs/>
          <w:sz w:val="21"/>
          <w:szCs w:val="21"/>
        </w:rPr>
        <w:t>钢筋工程常见缺陷及其成因</w:t>
      </w:r>
      <w:bookmarkEnd w:id="2"/>
    </w:p>
    <w:p w14:paraId="4EC4CD4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sz w:val="21"/>
          <w:szCs w:val="21"/>
        </w:rPr>
      </w:pPr>
      <w:bookmarkStart w:id="3" w:name="heading_2"/>
      <w:r>
        <w:rPr>
          <w:rFonts w:ascii="宋体" w:eastAsia="宋体" w:hAnsi="宋体" w:cs="宋体" w:hint="eastAsia"/>
          <w:b w:val="0"/>
          <w:bCs/>
          <w:sz w:val="21"/>
          <w:szCs w:val="21"/>
          <w:lang w:val="en-US" w:eastAsia="zh-CN"/>
        </w:rPr>
        <w:t>1.1</w:t>
      </w:r>
      <w:r>
        <w:rPr>
          <w:rFonts w:ascii="宋体" w:eastAsia="宋体" w:hAnsi="宋体" w:cs="宋体" w:hint="eastAsia"/>
          <w:b w:val="0"/>
          <w:bCs/>
          <w:sz w:val="21"/>
          <w:szCs w:val="21"/>
        </w:rPr>
        <w:t>下料翻样与弯钩加工缺陷</w:t>
      </w:r>
      <w:bookmarkEnd w:id="3"/>
    </w:p>
    <w:p w14:paraId="0D8076C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下料根据配料单进行，翻样环节的疏忽会造成批量偏差。项目要求成批加工之前先对每一根钢筋进行配料单和设计图的检查，看有无错误、遗漏，重点做好弓铁翻样，确认弯起长度和弯折高度无误后再放出实样。翻样如果出现偏差，弯起钢筋高度就会和图纸不符，安装时弯起钢筋伸出梁柱节点不够或者超出太多，挤占了混凝土截面，成批加工之后很难挽回。</w:t>
      </w:r>
    </w:p>
    <w:p w14:paraId="3C2E654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弯钩加工尺寸由弯曲调整量决定。钢筋弯曲后轴线长度不变，但弯起后实际尺寸与下料尺寸不相同，计算下料长度的时候一定要把弯曲调整值考虑进去。项目中钢筋弯心直径为2.5d，平直段长度为3d，半圆弯钩、直弯钩、斜弯钩增加长度按下列公式计算。</w:t>
      </w:r>
    </w:p>
    <w:p w14:paraId="4573CE2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L</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半圆</m:t>
              </m:r>
            </m:sub>
          </m:sSub>
          <m:r>
            <w:rPr>
              <w:rFonts w:ascii="Cambria Math" w:eastAsia="宋体" w:hAnsi="Cambria Math" w:cs="宋体" w:hint="eastAsia"/>
              <w:sz w:val="21"/>
              <w:szCs w:val="21"/>
            </w:rPr>
            <m:t>=6.25d,</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L</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直</m:t>
              </m:r>
            </m:sub>
          </m:sSub>
          <m:r>
            <w:rPr>
              <w:rFonts w:ascii="Cambria Math" w:eastAsia="宋体" w:hAnsi="Cambria Math" w:cs="宋体" w:hint="eastAsia"/>
              <w:sz w:val="21"/>
              <w:szCs w:val="21"/>
            </w:rPr>
            <m:t>=3.5d,</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L</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斜</m:t>
              </m:r>
            </m:sub>
          </m:sSub>
          <m:r>
            <w:rPr>
              <w:rFonts w:ascii="Cambria Math" w:eastAsia="宋体" w:hAnsi="Cambria Math" w:cs="宋体" w:hint="eastAsia"/>
              <w:sz w:val="21"/>
              <w:szCs w:val="21"/>
            </w:rPr>
            <m:t>=4.9d</m:t>
          </m:r>
        </m:oMath>
      </m:oMathPara>
    </w:p>
    <w:p w14:paraId="478B629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为钢筋直径。弯起钢筋中间弯折处的弯曲直径D取钢筋直径的5倍。箍筋调整值就是弯钩增加长度和弯曲调整值两者之差或者之和，用箍筋量外包尺寸或者内皮尺寸来确定。实际施工中如果忽略调整值，成型钢筋就会出现弯钩角度小、平直段过短的现象，从而影响锚固的效果。下料偏差还包括长料短用和浪费现象，在钢筋加工成型之前要先断长料后断短料，合理安排钢筋配料，以减少短头损耗、保证下料尺寸准确。钢筋加工成型之后经过专职质检人员的检查验收合格后，再用标有使用部位、钢筋品种、规格、尺寸、数量、编号等信息的标志牌挂到钢筋上，分类整齐堆放于垫木上。焊缝表面要除掉表面的污物，手工电弧焊保证焊缝无夹渣、无气孔、无肉瘤、无咬边，焊缝表面光滑，长度和高度符合要求，接头焊完立即清理焊渣。</w:t>
      </w:r>
    </w:p>
    <w:p w14:paraId="3438F51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sz w:val="21"/>
          <w:szCs w:val="21"/>
        </w:rPr>
      </w:pPr>
      <w:bookmarkStart w:id="4" w:name="heading_3"/>
      <w:r>
        <w:rPr>
          <w:rFonts w:ascii="宋体" w:eastAsia="宋体" w:hAnsi="宋体" w:cs="宋体" w:hint="eastAsia"/>
          <w:b w:val="0"/>
          <w:bCs/>
          <w:sz w:val="21"/>
          <w:szCs w:val="21"/>
          <w:lang w:val="en-US" w:eastAsia="zh-CN"/>
        </w:rPr>
        <w:t>1.2</w:t>
      </w:r>
      <w:r>
        <w:rPr>
          <w:rFonts w:ascii="宋体" w:eastAsia="宋体" w:hAnsi="宋体" w:cs="宋体" w:hint="eastAsia"/>
          <w:b w:val="0"/>
          <w:bCs/>
          <w:sz w:val="21"/>
          <w:szCs w:val="21"/>
        </w:rPr>
        <w:t>接头连接缺陷</w:t>
      </w:r>
      <w:bookmarkEnd w:id="4"/>
    </w:p>
    <w:p w14:paraId="3776604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钢筋接头质量是缺陷的高发区，接头位置和百分比控制不好会严重影响传力效率。根据构件部位、钢筋直径的不同分连接方式，具体的控制要求见表1。</w:t>
      </w:r>
    </w:p>
    <w:p w14:paraId="3E7A27F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表1钢筋连接方式及接头百分率控制要求（摘自项目施工组织设计5.2.2.5）</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1815"/>
        <w:gridCol w:w="1620"/>
        <w:gridCol w:w="2025"/>
        <w:gridCol w:w="2820"/>
      </w:tblGrid>
      <w:tr w14:paraId="4E068452">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57379D7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构件部位</w:t>
            </w:r>
          </w:p>
        </w:tc>
        <w:tc>
          <w:tcPr>
            <w:tcW w:w="1620" w:type="dxa"/>
            <w:tcMar>
              <w:top w:w="60" w:type="dxa"/>
              <w:left w:w="120" w:type="dxa"/>
              <w:bottom w:w="30" w:type="dxa"/>
              <w:right w:w="120" w:type="dxa"/>
            </w:tcMar>
            <w:vAlign w:val="center"/>
          </w:tcPr>
          <w:p w14:paraId="7B90F31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钢筋直径</w:t>
            </w:r>
          </w:p>
        </w:tc>
        <w:tc>
          <w:tcPr>
            <w:tcW w:w="2025" w:type="dxa"/>
            <w:tcMar>
              <w:top w:w="60" w:type="dxa"/>
              <w:left w:w="120" w:type="dxa"/>
              <w:bottom w:w="30" w:type="dxa"/>
              <w:right w:w="120" w:type="dxa"/>
            </w:tcMar>
            <w:vAlign w:val="center"/>
          </w:tcPr>
          <w:p w14:paraId="7C8B7C9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连接方式</w:t>
            </w:r>
          </w:p>
        </w:tc>
        <w:tc>
          <w:tcPr>
            <w:tcW w:w="2820" w:type="dxa"/>
            <w:tcMar>
              <w:top w:w="60" w:type="dxa"/>
              <w:left w:w="120" w:type="dxa"/>
              <w:bottom w:w="30" w:type="dxa"/>
              <w:right w:w="120" w:type="dxa"/>
            </w:tcMar>
            <w:vAlign w:val="center"/>
          </w:tcPr>
          <w:p w14:paraId="6FD38F9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接头百分率控制</w:t>
            </w:r>
          </w:p>
        </w:tc>
      </w:tr>
      <w:tr w14:paraId="1551A84B">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61C53DA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柱、剪力墙</w:t>
            </w:r>
          </w:p>
        </w:tc>
        <w:tc>
          <w:tcPr>
            <w:tcW w:w="1620" w:type="dxa"/>
            <w:tcMar>
              <w:top w:w="60" w:type="dxa"/>
              <w:left w:w="120" w:type="dxa"/>
              <w:bottom w:w="30" w:type="dxa"/>
              <w:right w:w="120" w:type="dxa"/>
            </w:tcMar>
            <w:vAlign w:val="center"/>
          </w:tcPr>
          <w:p w14:paraId="5EFC03F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d＜16</w:t>
            </w:r>
          </w:p>
        </w:tc>
        <w:tc>
          <w:tcPr>
            <w:tcW w:w="2025" w:type="dxa"/>
            <w:tcMar>
              <w:top w:w="60" w:type="dxa"/>
              <w:left w:w="120" w:type="dxa"/>
              <w:bottom w:w="30" w:type="dxa"/>
              <w:right w:w="120" w:type="dxa"/>
            </w:tcMar>
            <w:vAlign w:val="center"/>
          </w:tcPr>
          <w:p w14:paraId="5481E7E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绑扎搭接</w:t>
            </w:r>
          </w:p>
        </w:tc>
        <w:tc>
          <w:tcPr>
            <w:tcW w:w="2820" w:type="dxa"/>
            <w:tcMar>
              <w:top w:w="60" w:type="dxa"/>
              <w:left w:w="120" w:type="dxa"/>
              <w:bottom w:w="30" w:type="dxa"/>
              <w:right w:w="120" w:type="dxa"/>
            </w:tcMar>
            <w:vAlign w:val="center"/>
          </w:tcPr>
          <w:p w14:paraId="3B61C3E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不宜大于50%</w:t>
            </w:r>
          </w:p>
        </w:tc>
      </w:tr>
      <w:tr w14:paraId="2407175A">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2D78F6C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柱、剪力墙</w:t>
            </w:r>
          </w:p>
        </w:tc>
        <w:tc>
          <w:tcPr>
            <w:tcW w:w="1620" w:type="dxa"/>
            <w:tcMar>
              <w:top w:w="60" w:type="dxa"/>
              <w:left w:w="120" w:type="dxa"/>
              <w:bottom w:w="30" w:type="dxa"/>
              <w:right w:w="120" w:type="dxa"/>
            </w:tcMar>
            <w:vAlign w:val="center"/>
          </w:tcPr>
          <w:p w14:paraId="02DE024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16≤d≤22</w:t>
            </w:r>
          </w:p>
        </w:tc>
        <w:tc>
          <w:tcPr>
            <w:tcW w:w="2025" w:type="dxa"/>
            <w:tcMar>
              <w:top w:w="60" w:type="dxa"/>
              <w:left w:w="120" w:type="dxa"/>
              <w:bottom w:w="30" w:type="dxa"/>
              <w:right w:w="120" w:type="dxa"/>
            </w:tcMar>
            <w:vAlign w:val="center"/>
          </w:tcPr>
          <w:p w14:paraId="1C6DB58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电渣压力焊</w:t>
            </w:r>
          </w:p>
        </w:tc>
        <w:tc>
          <w:tcPr>
            <w:tcW w:w="2820" w:type="dxa"/>
            <w:tcMar>
              <w:top w:w="60" w:type="dxa"/>
              <w:left w:w="120" w:type="dxa"/>
              <w:bottom w:w="30" w:type="dxa"/>
              <w:right w:w="120" w:type="dxa"/>
            </w:tcMar>
            <w:vAlign w:val="center"/>
          </w:tcPr>
          <w:p w14:paraId="7CAC332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不宜大于50%</w:t>
            </w:r>
          </w:p>
        </w:tc>
      </w:tr>
      <w:tr w14:paraId="52F119CC">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6665284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柱、剪力墙</w:t>
            </w:r>
          </w:p>
        </w:tc>
        <w:tc>
          <w:tcPr>
            <w:tcW w:w="1620" w:type="dxa"/>
            <w:tcMar>
              <w:top w:w="60" w:type="dxa"/>
              <w:left w:w="120" w:type="dxa"/>
              <w:bottom w:w="30" w:type="dxa"/>
              <w:right w:w="120" w:type="dxa"/>
            </w:tcMar>
            <w:vAlign w:val="center"/>
          </w:tcPr>
          <w:p w14:paraId="0EBB089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d≥25</w:t>
            </w:r>
          </w:p>
        </w:tc>
        <w:tc>
          <w:tcPr>
            <w:tcW w:w="2025" w:type="dxa"/>
            <w:tcMar>
              <w:top w:w="60" w:type="dxa"/>
              <w:left w:w="120" w:type="dxa"/>
              <w:bottom w:w="30" w:type="dxa"/>
              <w:right w:w="120" w:type="dxa"/>
            </w:tcMar>
            <w:vAlign w:val="center"/>
          </w:tcPr>
          <w:p w14:paraId="56B0604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机械连接</w:t>
            </w:r>
          </w:p>
        </w:tc>
        <w:tc>
          <w:tcPr>
            <w:tcW w:w="2820" w:type="dxa"/>
            <w:tcMar>
              <w:top w:w="60" w:type="dxa"/>
              <w:left w:w="120" w:type="dxa"/>
              <w:bottom w:w="30" w:type="dxa"/>
              <w:right w:w="120" w:type="dxa"/>
            </w:tcMar>
            <w:vAlign w:val="center"/>
          </w:tcPr>
          <w:p w14:paraId="396FA6F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二级接头不大于50%</w:t>
            </w:r>
          </w:p>
        </w:tc>
      </w:tr>
      <w:tr w14:paraId="5A00C8AE">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0FC8A00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梁、板</w:t>
            </w:r>
          </w:p>
        </w:tc>
        <w:tc>
          <w:tcPr>
            <w:tcW w:w="1620" w:type="dxa"/>
            <w:tcMar>
              <w:top w:w="60" w:type="dxa"/>
              <w:left w:w="120" w:type="dxa"/>
              <w:bottom w:w="30" w:type="dxa"/>
              <w:right w:w="120" w:type="dxa"/>
            </w:tcMar>
            <w:vAlign w:val="center"/>
          </w:tcPr>
          <w:p w14:paraId="2E5CB5C7">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d＜18</w:t>
            </w:r>
          </w:p>
        </w:tc>
        <w:tc>
          <w:tcPr>
            <w:tcW w:w="2025" w:type="dxa"/>
            <w:tcMar>
              <w:top w:w="60" w:type="dxa"/>
              <w:left w:w="120" w:type="dxa"/>
              <w:bottom w:w="30" w:type="dxa"/>
              <w:right w:w="120" w:type="dxa"/>
            </w:tcMar>
            <w:vAlign w:val="center"/>
          </w:tcPr>
          <w:p w14:paraId="7E6C7F8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绑扎搭接</w:t>
            </w:r>
          </w:p>
        </w:tc>
        <w:tc>
          <w:tcPr>
            <w:tcW w:w="2820" w:type="dxa"/>
            <w:tcMar>
              <w:top w:w="60" w:type="dxa"/>
              <w:left w:w="120" w:type="dxa"/>
              <w:bottom w:w="30" w:type="dxa"/>
              <w:right w:w="120" w:type="dxa"/>
            </w:tcMar>
            <w:vAlign w:val="center"/>
          </w:tcPr>
          <w:p w14:paraId="23283598">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不宜大于25%</w:t>
            </w:r>
          </w:p>
        </w:tc>
      </w:tr>
      <w:tr w14:paraId="56C2C0A8">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0A4F95F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梁、板</w:t>
            </w:r>
          </w:p>
        </w:tc>
        <w:tc>
          <w:tcPr>
            <w:tcW w:w="1620" w:type="dxa"/>
            <w:tcMar>
              <w:top w:w="60" w:type="dxa"/>
              <w:left w:w="120" w:type="dxa"/>
              <w:bottom w:w="30" w:type="dxa"/>
              <w:right w:w="120" w:type="dxa"/>
            </w:tcMar>
            <w:vAlign w:val="center"/>
          </w:tcPr>
          <w:p w14:paraId="3B89924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d≥18</w:t>
            </w:r>
          </w:p>
        </w:tc>
        <w:tc>
          <w:tcPr>
            <w:tcW w:w="2025" w:type="dxa"/>
            <w:tcMar>
              <w:top w:w="60" w:type="dxa"/>
              <w:left w:w="120" w:type="dxa"/>
              <w:bottom w:w="30" w:type="dxa"/>
              <w:right w:w="120" w:type="dxa"/>
            </w:tcMar>
            <w:vAlign w:val="center"/>
          </w:tcPr>
          <w:p w14:paraId="676FCFE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机械连接</w:t>
            </w:r>
          </w:p>
        </w:tc>
        <w:tc>
          <w:tcPr>
            <w:tcW w:w="2820" w:type="dxa"/>
            <w:tcMar>
              <w:top w:w="60" w:type="dxa"/>
              <w:left w:w="120" w:type="dxa"/>
              <w:bottom w:w="30" w:type="dxa"/>
              <w:right w:w="120" w:type="dxa"/>
            </w:tcMar>
            <w:vAlign w:val="center"/>
          </w:tcPr>
          <w:p w14:paraId="2F4A056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二级接头不大于50%</w:t>
            </w:r>
          </w:p>
        </w:tc>
      </w:tr>
      <w:tr w14:paraId="2FF8454A">
        <w:tblPrEx>
          <w:tblW w:w="0" w:type="auto"/>
          <w:tblInd w:w="0" w:type="dxa"/>
          <w:tblLayout w:type="fixed"/>
          <w:tblCellMar>
            <w:top w:w="0" w:type="dxa"/>
            <w:left w:w="10" w:type="dxa"/>
            <w:bottom w:w="0" w:type="dxa"/>
            <w:right w:w="10" w:type="dxa"/>
          </w:tblCellMar>
        </w:tblPrEx>
        <w:tc>
          <w:tcPr>
            <w:tcW w:w="1815" w:type="dxa"/>
            <w:tcMar>
              <w:top w:w="60" w:type="dxa"/>
              <w:left w:w="120" w:type="dxa"/>
              <w:bottom w:w="30" w:type="dxa"/>
              <w:right w:w="120" w:type="dxa"/>
            </w:tcMar>
            <w:vAlign w:val="center"/>
          </w:tcPr>
          <w:p w14:paraId="0297A2B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框支梁（柱）</w:t>
            </w:r>
          </w:p>
        </w:tc>
        <w:tc>
          <w:tcPr>
            <w:tcW w:w="1620" w:type="dxa"/>
            <w:tcMar>
              <w:top w:w="60" w:type="dxa"/>
              <w:left w:w="120" w:type="dxa"/>
              <w:bottom w:w="30" w:type="dxa"/>
              <w:right w:w="120" w:type="dxa"/>
            </w:tcMar>
            <w:vAlign w:val="center"/>
          </w:tcPr>
          <w:p w14:paraId="6E1CFF2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d≥18</w:t>
            </w:r>
          </w:p>
        </w:tc>
        <w:tc>
          <w:tcPr>
            <w:tcW w:w="2025" w:type="dxa"/>
            <w:tcMar>
              <w:top w:w="60" w:type="dxa"/>
              <w:left w:w="120" w:type="dxa"/>
              <w:bottom w:w="30" w:type="dxa"/>
              <w:right w:w="120" w:type="dxa"/>
            </w:tcMar>
            <w:vAlign w:val="center"/>
          </w:tcPr>
          <w:p w14:paraId="744DC7A0">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机械连接</w:t>
            </w:r>
          </w:p>
        </w:tc>
        <w:tc>
          <w:tcPr>
            <w:tcW w:w="2820" w:type="dxa"/>
            <w:tcMar>
              <w:top w:w="60" w:type="dxa"/>
              <w:left w:w="120" w:type="dxa"/>
              <w:bottom w:w="30" w:type="dxa"/>
              <w:right w:w="120" w:type="dxa"/>
            </w:tcMar>
            <w:vAlign w:val="center"/>
          </w:tcPr>
          <w:p w14:paraId="3B5CA454">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w:t>
            </w:r>
          </w:p>
        </w:tc>
      </w:tr>
    </w:tbl>
    <w:p w14:paraId="70BEB28B">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同一个连接区段内的接头面积百分率一旦超过25%，受拉钢筋传力就集中在接头处。项目规定绑扎搭接接头梁、板、墙≤25%，柱≤50%，机械连接二级接头≤50%、三级接头≤25%。纵向受拉钢筋最小绑扎搭接长度按图集16G101-1相应页取用，受压钢筋搭接长度不得小于受拉搭接长度的70%，且不得小于200mm，搭接不足会造成传力中断。电渣压力焊对钢筋直径为16mm至22mm的柱、剪力墙使用时，如果焊工操作不稳定或者焊剂清理不干净就会造成焊包不均、轴线偏移等现象，因此焊工必须持证上岗，焊后及时清渣。</w:t>
      </w:r>
    </w:p>
    <w:p w14:paraId="47F002A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抗震结构对钢筋的延性有硬性规定。抗震等级为一、二级框架及斜撑构件的纵向受力钢筋用牌号带E的抗震钢筋，强屈比、屈强比必须同时满足。</w:t>
      </w:r>
    </w:p>
    <w:p w14:paraId="7D13352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f>
            <m:fPr>
              <m:ctrlPr>
                <w:rPr>
                  <w:rFonts w:ascii="Cambria Math" w:eastAsia="宋体" w:hAnsi="Cambria Math" w:cs="宋体" w:hint="eastAsia"/>
                  <w:b w:val="0"/>
                  <w:bCs/>
                  <w:sz w:val="21"/>
                  <w:szCs w:val="21"/>
                </w:rPr>
              </m:ctrlPr>
            </m:fPr>
            <m:num>
              <m:ctrlPr>
                <w:rPr>
                  <w:rFonts w:ascii="Cambria Math" w:eastAsia="宋体" w:hAnsi="Cambria Math" w:cs="宋体" w:hint="eastAsia"/>
                  <w:b w:val="0"/>
                  <w:bCs/>
                  <w:sz w:val="21"/>
                  <w:szCs w:val="21"/>
                </w:rPr>
              </m:ctrlP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抗拉实测</m:t>
                  </m:r>
                </m:sub>
              </m:sSub>
            </m:num>
            <m:den>
              <m:ctrlPr>
                <w:rPr>
                  <w:rFonts w:ascii="Cambria Math" w:eastAsia="宋体" w:hAnsi="Cambria Math" w:cs="宋体" w:hint="eastAsia"/>
                  <w:b w:val="0"/>
                  <w:bCs/>
                  <w:sz w:val="21"/>
                  <w:szCs w:val="21"/>
                </w:rPr>
              </m:ctrlP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屈服实测</m:t>
                  </m:r>
                </m:sub>
              </m:sSub>
            </m:den>
          </m:f>
          <m:r>
            <w:rPr>
              <w:rFonts w:ascii="Cambria Math" w:eastAsia="宋体" w:hAnsi="Cambria Math" w:cs="宋体" w:hint="eastAsia"/>
              <w:sz w:val="21"/>
              <w:szCs w:val="21"/>
            </w:rPr>
            <m:t>≥1.25,</m:t>
          </m:r>
          <m:f>
            <m:fPr>
              <m:ctrlPr>
                <w:rPr>
                  <w:rFonts w:ascii="Cambria Math" w:eastAsia="宋体" w:hAnsi="Cambria Math" w:cs="宋体" w:hint="eastAsia"/>
                  <w:b w:val="0"/>
                  <w:bCs/>
                  <w:sz w:val="21"/>
                  <w:szCs w:val="21"/>
                </w:rPr>
              </m:ctrlPr>
            </m:fPr>
            <m:num>
              <m:ctrlPr>
                <w:rPr>
                  <w:rFonts w:ascii="Cambria Math" w:eastAsia="宋体" w:hAnsi="Cambria Math" w:cs="宋体" w:hint="eastAsia"/>
                  <w:b w:val="0"/>
                  <w:bCs/>
                  <w:sz w:val="21"/>
                  <w:szCs w:val="21"/>
                </w:rPr>
              </m:ctrlP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屈服实测</m:t>
                  </m:r>
                </m:sub>
              </m:sSub>
            </m:num>
            <m:den>
              <m:ctrlPr>
                <w:rPr>
                  <w:rFonts w:ascii="Cambria Math" w:eastAsia="宋体" w:hAnsi="Cambria Math" w:cs="宋体" w:hint="eastAsia"/>
                  <w:b w:val="0"/>
                  <w:bCs/>
                  <w:sz w:val="21"/>
                  <w:szCs w:val="21"/>
                </w:rPr>
              </m:ctrlP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R</m:t>
                  </m:r>
                </m:e>
                <m:sub>
                  <m:ctrlPr>
                    <w:rPr>
                      <w:rFonts w:ascii="Cambria Math" w:eastAsia="宋体" w:hAnsi="Cambria Math" w:cs="宋体" w:hint="eastAsia"/>
                      <w:b w:val="0"/>
                      <w:bCs/>
                      <w:sz w:val="21"/>
                      <w:szCs w:val="21"/>
                    </w:rPr>
                  </m:ctrlPr>
                  <m:r>
                    <m:rPr>
                      <m:nor/>
                      <m:sty m:val="p"/>
                    </m:rPr>
                    <w:rPr>
                      <w:rFonts w:ascii="Cambria Math" w:eastAsia="宋体" w:hAnsi="Cambria Math" w:cs="宋体" w:hint="eastAsia"/>
                      <w:b w:val="0"/>
                      <w:bCs/>
                      <w:sz w:val="21"/>
                      <w:szCs w:val="21"/>
                    </w:rPr>
                    <m:t>屈服标准</m:t>
                  </m:r>
                </m:sub>
              </m:sSub>
            </m:den>
          </m:f>
          <m:r>
            <w:rPr>
              <w:rFonts w:ascii="Cambria Math" w:eastAsia="宋体" w:hAnsi="Cambria Math" w:cs="宋体" w:hint="eastAsia"/>
              <w:sz w:val="21"/>
              <w:szCs w:val="21"/>
            </w:rPr>
            <m:t>≤1.3</m:t>
          </m:r>
        </m:oMath>
      </m:oMathPara>
    </w:p>
    <w:p w14:paraId="165FF3D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钢筋最大拉力下总伸长率的实测值不得小于9%。表2为项目各种牌号钢筋在最大力下总伸长率的规定值，是关系到地震作用下钢筋的塑性变形能力的一个重要指标，进场复验时必须逐项把关。</w:t>
      </w:r>
    </w:p>
    <w:p w14:paraId="376E4A9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表2普通钢筋及预应力筋在最大力下的总伸长率（摘自项目表5.2-3）</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
      <w:tblGrid>
        <w:gridCol w:w="5610"/>
        <w:gridCol w:w="2670"/>
      </w:tblGrid>
      <w:tr w14:paraId="3FAD1CAF">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 w:type="dxa"/>
            <w:bottom w:w="0" w:type="dxa"/>
            <w:right w:w="10" w:type="dxa"/>
          </w:tblCellMar>
        </w:tblPrEx>
        <w:tc>
          <w:tcPr>
            <w:tcW w:w="5610" w:type="dxa"/>
            <w:tcMar>
              <w:top w:w="60" w:type="dxa"/>
              <w:left w:w="120" w:type="dxa"/>
              <w:bottom w:w="30" w:type="dxa"/>
              <w:right w:w="120" w:type="dxa"/>
            </w:tcMar>
            <w:vAlign w:val="center"/>
          </w:tcPr>
          <w:p w14:paraId="1A632D7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钢筋牌号</w:t>
            </w:r>
          </w:p>
        </w:tc>
        <w:tc>
          <w:tcPr>
            <w:tcW w:w="2670" w:type="dxa"/>
            <w:tcMar>
              <w:top w:w="60" w:type="dxa"/>
              <w:left w:w="120" w:type="dxa"/>
              <w:bottom w:w="30" w:type="dxa"/>
              <w:right w:w="120" w:type="dxa"/>
            </w:tcMar>
            <w:vAlign w:val="center"/>
          </w:tcPr>
          <w:p w14:paraId="5829CACC">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规定值（%）</w:t>
            </w:r>
          </w:p>
        </w:tc>
      </w:tr>
      <w:tr w14:paraId="3A8545D6">
        <w:tblPrEx>
          <w:tblW w:w="0" w:type="auto"/>
          <w:tblInd w:w="0" w:type="dxa"/>
          <w:tblLayout w:type="fixed"/>
          <w:tblCellMar>
            <w:top w:w="0" w:type="dxa"/>
            <w:left w:w="10" w:type="dxa"/>
            <w:bottom w:w="0" w:type="dxa"/>
            <w:right w:w="10" w:type="dxa"/>
          </w:tblCellMar>
        </w:tblPrEx>
        <w:tc>
          <w:tcPr>
            <w:tcW w:w="5610" w:type="dxa"/>
            <w:tcMar>
              <w:top w:w="60" w:type="dxa"/>
              <w:left w:w="120" w:type="dxa"/>
              <w:bottom w:w="30" w:type="dxa"/>
              <w:right w:w="120" w:type="dxa"/>
            </w:tcMar>
            <w:vAlign w:val="center"/>
          </w:tcPr>
          <w:p w14:paraId="60EF49D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HPB300</w:t>
            </w:r>
          </w:p>
        </w:tc>
        <w:tc>
          <w:tcPr>
            <w:tcW w:w="2670" w:type="dxa"/>
            <w:tcMar>
              <w:top w:w="60" w:type="dxa"/>
              <w:left w:w="120" w:type="dxa"/>
              <w:bottom w:w="30" w:type="dxa"/>
              <w:right w:w="120" w:type="dxa"/>
            </w:tcMar>
            <w:vAlign w:val="center"/>
          </w:tcPr>
          <w:p w14:paraId="5C131AF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10.0</w:t>
            </w:r>
          </w:p>
        </w:tc>
      </w:tr>
      <w:tr w14:paraId="7A364E7D">
        <w:tblPrEx>
          <w:tblW w:w="0" w:type="auto"/>
          <w:tblInd w:w="0" w:type="dxa"/>
          <w:tblLayout w:type="fixed"/>
          <w:tblCellMar>
            <w:top w:w="0" w:type="dxa"/>
            <w:left w:w="10" w:type="dxa"/>
            <w:bottom w:w="0" w:type="dxa"/>
            <w:right w:w="10" w:type="dxa"/>
          </w:tblCellMar>
        </w:tblPrEx>
        <w:tc>
          <w:tcPr>
            <w:tcW w:w="5610" w:type="dxa"/>
            <w:tcMar>
              <w:top w:w="60" w:type="dxa"/>
              <w:left w:w="120" w:type="dxa"/>
              <w:bottom w:w="30" w:type="dxa"/>
              <w:right w:w="120" w:type="dxa"/>
            </w:tcMar>
            <w:vAlign w:val="center"/>
          </w:tcPr>
          <w:p w14:paraId="22A792FF">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HRB335、HRB400、HRBF400、HRB500、RHRF500</w:t>
            </w:r>
          </w:p>
        </w:tc>
        <w:tc>
          <w:tcPr>
            <w:tcW w:w="2670" w:type="dxa"/>
            <w:tcMar>
              <w:top w:w="60" w:type="dxa"/>
              <w:left w:w="120" w:type="dxa"/>
              <w:bottom w:w="30" w:type="dxa"/>
              <w:right w:w="120" w:type="dxa"/>
            </w:tcMar>
            <w:vAlign w:val="center"/>
          </w:tcPr>
          <w:p w14:paraId="7608772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7.5</w:t>
            </w:r>
          </w:p>
        </w:tc>
      </w:tr>
      <w:tr w14:paraId="02345A0B">
        <w:tblPrEx>
          <w:tblW w:w="0" w:type="auto"/>
          <w:tblInd w:w="0" w:type="dxa"/>
          <w:tblLayout w:type="fixed"/>
          <w:tblCellMar>
            <w:top w:w="0" w:type="dxa"/>
            <w:left w:w="10" w:type="dxa"/>
            <w:bottom w:w="0" w:type="dxa"/>
            <w:right w:w="10" w:type="dxa"/>
          </w:tblCellMar>
        </w:tblPrEx>
        <w:tc>
          <w:tcPr>
            <w:tcW w:w="5610" w:type="dxa"/>
            <w:tcMar>
              <w:top w:w="60" w:type="dxa"/>
              <w:left w:w="120" w:type="dxa"/>
              <w:bottom w:w="30" w:type="dxa"/>
              <w:right w:w="120" w:type="dxa"/>
            </w:tcMar>
            <w:vAlign w:val="center"/>
          </w:tcPr>
          <w:p w14:paraId="5850FD9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RRB400</w:t>
            </w:r>
          </w:p>
        </w:tc>
        <w:tc>
          <w:tcPr>
            <w:tcW w:w="2670" w:type="dxa"/>
            <w:tcMar>
              <w:top w:w="60" w:type="dxa"/>
              <w:left w:w="120" w:type="dxa"/>
              <w:bottom w:w="30" w:type="dxa"/>
              <w:right w:w="120" w:type="dxa"/>
            </w:tcMar>
            <w:vAlign w:val="center"/>
          </w:tcPr>
          <w:p w14:paraId="308E0CD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5.0</w:t>
            </w:r>
          </w:p>
        </w:tc>
      </w:tr>
      <w:tr w14:paraId="47BF2C54">
        <w:tblPrEx>
          <w:tblW w:w="0" w:type="auto"/>
          <w:tblInd w:w="0" w:type="dxa"/>
          <w:tblLayout w:type="fixed"/>
          <w:tblCellMar>
            <w:top w:w="0" w:type="dxa"/>
            <w:left w:w="10" w:type="dxa"/>
            <w:bottom w:w="0" w:type="dxa"/>
            <w:right w:w="10" w:type="dxa"/>
          </w:tblCellMar>
        </w:tblPrEx>
        <w:tc>
          <w:tcPr>
            <w:tcW w:w="5610" w:type="dxa"/>
            <w:tcMar>
              <w:top w:w="60" w:type="dxa"/>
              <w:left w:w="120" w:type="dxa"/>
              <w:bottom w:w="30" w:type="dxa"/>
              <w:right w:w="120" w:type="dxa"/>
            </w:tcMar>
            <w:vAlign w:val="center"/>
          </w:tcPr>
          <w:p w14:paraId="6E3AE69D">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预应力筋</w:t>
            </w:r>
          </w:p>
        </w:tc>
        <w:tc>
          <w:tcPr>
            <w:tcW w:w="2670" w:type="dxa"/>
            <w:tcMar>
              <w:top w:w="60" w:type="dxa"/>
              <w:left w:w="120" w:type="dxa"/>
              <w:bottom w:w="30" w:type="dxa"/>
              <w:right w:w="120" w:type="dxa"/>
            </w:tcMar>
            <w:vAlign w:val="center"/>
          </w:tcPr>
          <w:p w14:paraId="2C81B9C1">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w:r>
              <w:rPr>
                <w:rFonts w:ascii="宋体" w:eastAsia="宋体" w:hAnsi="宋体" w:cs="宋体" w:hint="eastAsia"/>
                <w:b w:val="0"/>
                <w:bCs/>
                <w:sz w:val="21"/>
                <w:szCs w:val="21"/>
              </w:rPr>
              <w:t>3.5</w:t>
            </w:r>
          </w:p>
        </w:tc>
      </w:tr>
    </w:tbl>
    <w:p w14:paraId="488DBAC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1"/>
        <w:rPr>
          <w:rFonts w:ascii="宋体" w:eastAsia="宋体" w:hAnsi="宋体" w:cs="宋体" w:hint="eastAsia"/>
          <w:b w:val="0"/>
          <w:bCs/>
          <w:sz w:val="21"/>
          <w:szCs w:val="21"/>
        </w:rPr>
      </w:pPr>
      <w:bookmarkStart w:id="5" w:name="heading_4"/>
      <w:r>
        <w:rPr>
          <w:rFonts w:ascii="宋体" w:eastAsia="宋体" w:hAnsi="宋体" w:cs="宋体" w:hint="eastAsia"/>
          <w:b w:val="0"/>
          <w:bCs/>
          <w:sz w:val="21"/>
          <w:szCs w:val="21"/>
          <w:lang w:val="en-US" w:eastAsia="zh-CN"/>
        </w:rPr>
        <w:t>1.3</w:t>
      </w:r>
      <w:r>
        <w:rPr>
          <w:rFonts w:ascii="宋体" w:eastAsia="宋体" w:hAnsi="宋体" w:cs="宋体" w:hint="eastAsia"/>
          <w:b w:val="0"/>
          <w:bCs/>
          <w:sz w:val="21"/>
          <w:szCs w:val="21"/>
        </w:rPr>
        <w:t>绑扎安装缺陷</w:t>
      </w:r>
      <w:bookmarkEnd w:id="5"/>
    </w:p>
    <w:p w14:paraId="2410493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柱筋安装有垂直度控制、主筋间距控制两方面问题。柱筋绑扎时用吊线控制垂直度，主筋间距严格控制，箍筋转角处及竖向钢筋交叉处必须绑扎牢固，平直部分交叉点可梅花式绑扎，箍筋接头相互错开，垂直放置。竖向钢筋的弯钩应朝向柱心，矩形柱角部钢筋弯钩平面与模板面夹角取45°，截面较小的柱用插入振动器时，弯钩与模板所成角度不得小于15°。钢筋转运时项目规定按安装程序确定搬运先后顺序以及叠放次序，轻拿轻放不使钢筋变形、污染，竖向钢筋安装后用钢管支撑或系缆风绳拉结，防止倾倒。</w:t>
      </w:r>
    </w:p>
    <w:p w14:paraId="7FB1E5C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梁板钢筋难就难在复杂的节点以及混凝土浇筑的防护。框架梁节点处钢筋密集，项目规定梁顶面主筋之间留有30mm的净空，便于混凝土浇筑，重点对节点处的中心箍进行检查。绑扎梁箍时箍筋开口要错开，梁端箍筋一般加密，梁主筋外角处和箍筋满扎，其余梅花点绑扎，这些小节直接影响到节点区的抗剪能力。板面受力钢筋容易在混凝土浇筑振捣时被踩踏移位，混凝土浇筑必须均匀，不得产生有害侧向压力，由专人负责巡视，及时纠正变形的钢筋。上下两层钢筋网用纵横间距2米的Φ14-Φ20钢筋做框架或撑脚固定，这是对双层网片塌陷的通病所采取的措施。水、电、通风、空调等预埋件必须在钢筋绑扎前全部预埋完毕，钢筋位置及间距正确，节点处钢筋与预埋件发生冲突，也会造成钢筋移位、漏放。</w:t>
      </w:r>
    </w:p>
    <w:p w14:paraId="789A1762">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1"/>
        <w:rPr>
          <w:rFonts w:ascii="宋体" w:eastAsia="宋体" w:hAnsi="宋体" w:cs="宋体" w:hint="eastAsia"/>
          <w:b w:val="0"/>
          <w:bCs/>
          <w:sz w:val="21"/>
          <w:szCs w:val="21"/>
        </w:rPr>
      </w:pPr>
      <w:bookmarkStart w:id="6" w:name="heading_5"/>
      <w:r>
        <w:rPr>
          <w:rFonts w:ascii="宋体" w:eastAsia="宋体" w:hAnsi="宋体" w:cs="宋体" w:hint="eastAsia"/>
          <w:b w:val="0"/>
          <w:bCs/>
          <w:sz w:val="21"/>
          <w:szCs w:val="21"/>
          <w:lang w:val="en-US" w:eastAsia="zh-CN"/>
        </w:rPr>
        <w:t>1.4</w:t>
      </w:r>
      <w:r>
        <w:rPr>
          <w:rFonts w:ascii="宋体" w:eastAsia="宋体" w:hAnsi="宋体" w:cs="宋体" w:hint="eastAsia"/>
          <w:b w:val="0"/>
          <w:bCs/>
          <w:sz w:val="21"/>
          <w:szCs w:val="21"/>
        </w:rPr>
        <w:t>保护层与位置偏差缺陷</w:t>
      </w:r>
      <w:bookmarkEnd w:id="6"/>
    </w:p>
    <w:p w14:paraId="0CE0ED7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保护层过厚使构件的有效截面变小，过薄又会使钢筋锈蚀严重，甚至露筋。项目严禁用碎石做梁、板底受力钢筋垫块，梁、板、柱均需用强度不小于M10的预制水泥砂浆垫块，垫块面积≥50*50mm。柱、梁主筋距两端约1500mm处四角设水泥砂浆垫块，模板上口设定位箍，封板前用线锤校正垂直度。柱顶钢筋必须保持平直，模板安装前用钢管、缆风绳加固并用砂浆垫块固定，模板安装后端部用钢筋卡定位，防止浇筑过程中柱筋偏移。板面受力钢筋直径≤Φ10时用Φ10钢筋做支架、纵横间距≤500mm，直径＞Φ12时用Φ12支架、纵横间距≤800mm。纵向受力钢筋多层布置时，上下排之间应加25mm长的短钢筋，直径较大的钢筋用同样规格的短钢筋固定，防止上、下排钢筋错位。</w:t>
      </w:r>
    </w:p>
    <w:p w14:paraId="7CC59CA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锈蚀和污染属于位置偏差以外的一种缺陷。钢筋进场后按厂家、品种、规格、批号分类堆放，方木垫高20cm以上，雨天用彩条布覆盖以防生锈。钢筋表面粘附的油污、泥沙、浮锈必须清理干净，根据冷拉工艺除锈，调直后表面伤痕不能使截面减小5%。箍筋末端要做出弯钩，弯钩形式应符合设计要求。</w:t>
      </w:r>
    </w:p>
    <w:p w14:paraId="7BB40E8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7" w:name="heading_6"/>
      <w:r>
        <w:rPr>
          <w:rFonts w:ascii="宋体" w:eastAsia="宋体" w:hAnsi="宋体" w:cs="宋体" w:hint="eastAsia"/>
          <w:b w:val="0"/>
          <w:bCs/>
          <w:sz w:val="21"/>
          <w:szCs w:val="21"/>
          <w:lang w:val="en-US" w:eastAsia="zh-CN"/>
        </w:rPr>
        <w:t>2</w:t>
      </w:r>
      <w:r>
        <w:rPr>
          <w:rFonts w:ascii="宋体" w:eastAsia="宋体" w:hAnsi="宋体" w:cs="宋体" w:hint="eastAsia"/>
          <w:b w:val="0"/>
          <w:bCs/>
          <w:sz w:val="21"/>
          <w:szCs w:val="21"/>
        </w:rPr>
        <w:t>钢筋缺陷的现场管控对策</w:t>
      </w:r>
      <w:bookmarkEnd w:id="7"/>
    </w:p>
    <w:p w14:paraId="193BFAA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由于以上的原因，本项目把控制提前到进场、加工、连接、安装到隐蔽验收全过程。</w:t>
      </w:r>
    </w:p>
    <w:p w14:paraId="463BD824">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进场验收要严把试验批量关。钢筋进场时要分批检验，没有出厂合格证的不得验收。试验员在规定时间内取样送检，试验批量为同批号60吨为一批，不足60吨按一批计算，复试合格后方可使用。保证进入现场的每一根钢筋都有可查的质保资料以及力学试验报告，从源头上杜绝不合格的原材料进场。</w:t>
      </w:r>
    </w:p>
    <w:p w14:paraId="461015D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当普通钢筋需要以强度等级高一些的钢筋进行施工时，本项目规定经设计人同意后，按受拉承载力设计值相等的原则进行换算，且满足最小配筋率的要求。代换按下式计算：</w:t>
      </w:r>
    </w:p>
    <w:p w14:paraId="6EB23F1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ascii="宋体" w:eastAsia="宋体" w:hAnsi="宋体" w:cs="宋体" w:hint="eastAsia"/>
          <w:b w:val="0"/>
          <w:bCs/>
          <w:sz w:val="21"/>
          <w:szCs w:val="21"/>
        </w:rPr>
      </w:pPr>
      <m:oMathPara>
        <m:oMathParaPr>
          <m:jc m:val="center"/>
        </m:oMathParaPr>
        <m:oMath>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A</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s1</m:t>
              </m:r>
            </m:sub>
          </m:sSub>
          <m:r>
            <w:rPr>
              <w:rFonts w:ascii="Cambria Math" w:eastAsia="宋体" w:hAnsi="Cambria Math" w:cs="宋体" w:hint="eastAsia"/>
              <w:sz w:val="21"/>
              <w:szCs w:val="21"/>
            </w:rPr>
            <m:t>⋅</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f</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y1</m:t>
              </m:r>
            </m:sub>
          </m:sSub>
          <m:r>
            <w:rPr>
              <w:rFonts w:ascii="Cambria Math" w:eastAsia="宋体" w:hAnsi="Cambria Math" w:cs="宋体" w:hint="eastAsia"/>
              <w:sz w:val="21"/>
              <w:szCs w:val="21"/>
            </w:rPr>
            <m:t>=</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A</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s2</m:t>
              </m:r>
            </m:sub>
          </m:sSub>
          <m:r>
            <w:rPr>
              <w:rFonts w:ascii="Cambria Math" w:eastAsia="宋体" w:hAnsi="Cambria Math" w:cs="宋体" w:hint="eastAsia"/>
              <w:sz w:val="21"/>
              <w:szCs w:val="21"/>
            </w:rPr>
            <m:t>⋅</m:t>
          </m:r>
          <m:sSub>
            <m:sSubPr>
              <m:ctrlPr>
                <w:rPr>
                  <w:rFonts w:ascii="Cambria Math" w:eastAsia="宋体" w:hAnsi="Cambria Math" w:cs="宋体" w:hint="eastAsia"/>
                  <w:b w:val="0"/>
                  <w:bCs/>
                  <w:sz w:val="21"/>
                  <w:szCs w:val="21"/>
                </w:rPr>
              </m:ctrlPr>
            </m:sSubPr>
            <m:e>
              <m:ctrlPr>
                <w:rPr>
                  <w:rFonts w:ascii="Cambria Math" w:eastAsia="宋体" w:hAnsi="Cambria Math" w:cs="宋体" w:hint="eastAsia"/>
                  <w:b w:val="0"/>
                  <w:bCs/>
                  <w:sz w:val="21"/>
                  <w:szCs w:val="21"/>
                </w:rPr>
              </m:ctrlPr>
              <m:r>
                <w:rPr>
                  <w:rFonts w:ascii="Cambria Math" w:eastAsia="宋体" w:hAnsi="Cambria Math" w:cs="宋体" w:hint="eastAsia"/>
                  <w:sz w:val="21"/>
                  <w:szCs w:val="21"/>
                </w:rPr>
                <m:t>f</m:t>
              </m:r>
            </m:e>
            <m:sub>
              <m:ctrlPr>
                <w:rPr>
                  <w:rFonts w:ascii="Cambria Math" w:eastAsia="宋体" w:hAnsi="Cambria Math" w:cs="宋体" w:hint="eastAsia"/>
                  <w:b w:val="0"/>
                  <w:bCs/>
                  <w:sz w:val="21"/>
                  <w:szCs w:val="21"/>
                </w:rPr>
              </m:ctrlPr>
              <m:r>
                <w:rPr>
                  <w:rFonts w:ascii="Cambria Math" w:eastAsia="宋体" w:hAnsi="Cambria Math" w:cs="宋体" w:hint="eastAsia"/>
                  <w:sz w:val="21"/>
                  <w:szCs w:val="21"/>
                </w:rPr>
                <m:t>y2</m:t>
              </m:r>
            </m:sub>
          </m:sSub>
        </m:oMath>
      </m:oMathPara>
    </w:p>
    <w:p w14:paraId="021D74F9">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As1、fy1是原来的钢筋面积及强度设计值，As2、fy2是代换后的钢筋面积和强度设计值。换算不足会造成承载力下降，换算过度会造成浪费，校核必须对每一个构件做仔细的检查，并得到设计人员的同意后才能执行。</w:t>
      </w:r>
    </w:p>
    <w:p w14:paraId="2D6CC60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接头的位置以及百分率的约束不能放松。焊接接头不得设在构件最大弯矩处，接头距钢筋弯折处应大于10d，不宜设在梁端、柱端箍筋加密区。受力钢筋35d区段范围内（不小于500mm）一根钢筋最多有两个接头，受拉区钢筋接头面积不超过总截面积的50%。绑扎接头彼此错开，受拉区不大于25%，受弯区不大于50%，受压区不限制。</w:t>
      </w:r>
    </w:p>
    <w:p w14:paraId="5D3C18B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项目实行样板引路、质量会诊制度。各分项工程的样板间、样板墙实行统一的操作标准，取得监理及业主的认可之后再大面积施工。内部按照钢筋、模板、混凝土等分项组建质量检验小组，对每一个施工段开展质量会诊工作，并填写质量会诊表，重点反映各个质量超差点的数量和原因。质量部对各个楼层同一分项问题出现频次进行统计分析，绘制统计图，用以预测下阶段不会再出现类似的施工质量问题。用数据频率来驱动改进工作，把缺陷控制由“凭感觉”变为“可量化的”，给后续工序也提供了一个可以重复使用的质量基线。</w:t>
      </w:r>
    </w:p>
    <w:p w14:paraId="0EF9E35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衔接智能建造和隐蔽验收就是最后一关。钢筋安装完毕按三检制度核对品种、规格、尺寸、数量及相互关系，检查焊接绑扎质量及接头分布是否符合锚固要求、整体稳定、无污染后报监理验收，验收合格后办理隐蔽工程验收手续。根据目前智能建造和智慧工地的发展趋向，本项目可以对钢筋加工进行数字化翻样，利用BIM核对节点钢筋布置情况，把钢筋和水电预埋的冲突在绑扎之前解决掉，从而进一步压缩返工量。混凝土浇筑时要均匀布料，防止混凝土冲击钢筋，专人监督并及时校正变形钢筋，把最后一道保护做好。钢筋加工、绑扎、焊接均设专人复核，弯曲偏差控制在规范允许范围内，成型后编号挂牌，每一道工序有责任人可追溯。</w:t>
      </w:r>
    </w:p>
    <w:p w14:paraId="0E0044CE">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outlineLvl w:val="0"/>
        <w:rPr>
          <w:rFonts w:ascii="宋体" w:eastAsia="宋体" w:hAnsi="宋体" w:cs="宋体" w:hint="eastAsia"/>
          <w:b w:val="0"/>
          <w:bCs/>
          <w:sz w:val="21"/>
          <w:szCs w:val="21"/>
        </w:rPr>
      </w:pPr>
      <w:bookmarkStart w:id="8" w:name="heading_7"/>
      <w:r>
        <w:rPr>
          <w:rFonts w:ascii="宋体" w:eastAsia="宋体" w:hAnsi="宋体" w:cs="宋体" w:hint="eastAsia"/>
          <w:b w:val="0"/>
          <w:bCs/>
          <w:sz w:val="21"/>
          <w:szCs w:val="21"/>
          <w:lang w:val="en-US" w:eastAsia="zh-CN"/>
        </w:rPr>
        <w:t>3</w:t>
      </w:r>
      <w:r>
        <w:rPr>
          <w:rFonts w:ascii="宋体" w:eastAsia="宋体" w:hAnsi="宋体" w:cs="宋体" w:hint="eastAsia"/>
          <w:b w:val="0"/>
          <w:bCs/>
          <w:sz w:val="21"/>
          <w:szCs w:val="21"/>
        </w:rPr>
        <w:t>结语</w:t>
      </w:r>
      <w:bookmarkEnd w:id="8"/>
    </w:p>
    <w:p w14:paraId="08D5C6D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ascii="宋体" w:eastAsia="宋体" w:hAnsi="宋体" w:cs="宋体" w:hint="eastAsia"/>
          <w:b w:val="0"/>
          <w:bCs/>
          <w:sz w:val="21"/>
          <w:szCs w:val="21"/>
        </w:rPr>
      </w:pPr>
      <w:r>
        <w:rPr>
          <w:rFonts w:ascii="宋体" w:eastAsia="宋体" w:hAnsi="宋体" w:cs="宋体" w:hint="eastAsia"/>
          <w:b w:val="0"/>
          <w:bCs/>
          <w:sz w:val="21"/>
          <w:szCs w:val="21"/>
        </w:rPr>
        <w:t>钢筋工程质量缺陷表面上是孤立的，实际上是由于翻样、下料、连接、安装等环节控制不严造成的。本文以三局工业区1号地模具制品生产项目为例，把常见的缺陷归结为弯钩调整值被忽略、接头百分率失控、保护层垫块不达标、双层网片坍塌和钢筋锈蚀污染，分别提出试验批量验收、等强代换校核、接头位置限定、垫块支架标准化、质量会诊滚动纠偏等措施。从实践来看，把防控关口前移到翻样复核、隐蔽验收阶段，并依靠质量数据的频率变化来推动改进，可以减少返工造成的损耗，保证主体结构施工质量。质量强国以及智能建造持续发展之时，钢筋工程的控制渐渐由依靠经验转向依靠数据，此种转变对于整体工程质量的提升有着实际的意义，在类似的工业厂房以及住宅项目中应当予以推广。之后可以利用智慧工地平台把钢筋加工量和进场复试数据添加到钢筋加工数字化台账中，每一次质量会诊都有具体的批次和责任人可以追踪，从而形成可以复制的钢筋工程缺陷管理机制。</w:t>
      </w:r>
    </w:p>
    <w:p w14:paraId="6CC3CA7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ascii="宋体" w:eastAsia="宋体" w:hAnsi="宋体" w:cs="宋体" w:hint="eastAsia"/>
          <w:b w:val="0"/>
          <w:bCs/>
          <w:sz w:val="21"/>
          <w:szCs w:val="21"/>
        </w:rPr>
      </w:pPr>
    </w:p>
    <w:sectPr>
      <w:headerReference w:type="default" r:id="rId4"/>
      <w:footerReference w:type="default" r:id="rId5"/>
      <w:pgSz w:w="11905" w:h="16840"/>
      <w:pgMar w:header="708" w:footer="708"/>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default"/>
    <w:sig w:usb0="E00006FF" w:usb1="420024FF" w:usb2="02000000" w:usb3="00000000" w:csb0="2000019F" w:csb1="00000000"/>
  </w:font>
  <w:font w:name="MS Mincho">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038AC8F"/>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9AF068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splitPgBreakAndParaMark/>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74B6116"/>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sz w:val="21"/>
      <w:szCs w:val="2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2</TotalTime>
  <Pages>5</Pages>
  <Words>1694</Words>
  <Characters>1747</Characters>
  <Application>Microsoft Office Word</Application>
  <DocSecurity>0</DocSecurity>
  <Lines>0</Lines>
  <Paragraphs>0</Paragraphs>
  <ScaleCrop>false</ScaleCrop>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初展</cp:lastModifiedBy>
  <cp:revision>0</cp:revision>
  <dcterms:created xsi:type="dcterms:W3CDTF">2026-11-04T15:13:00Z</dcterms:created>
  <dcterms:modified xsi:type="dcterms:W3CDTF">2026-11-04T15:16:38Z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{"Label":"1","ContentProducer":"001191110102MACQD9K64010000","ProduceID":"7704334693327883502","ReservedCode1":"","ContentPropagator":"","PropagateID":"","ReservedCode2":""}</vt:lpwstr>
  </property>
  <property fmtid="{D5CDD505-2E9C-101B-9397-08002B2CF9AE}" pid="3" name="ICV">
    <vt:lpwstr>EB1A8AED69B84E758FAE17F72C3FAF7E_12</vt:lpwstr>
  </property>
  <property fmtid="{D5CDD505-2E9C-101B-9397-08002B2CF9AE}" pid="4" name="KSOProductBuildVer">
    <vt:lpwstr>2052-12.1.0.29161</vt:lpwstr>
  </property>
  <property fmtid="{D5CDD505-2E9C-101B-9397-08002B2CF9AE}" pid="5" name="KSOTemplateDocerSaveRecord">
    <vt:lpwstr>eyJoZGlkIjoiMGM2YzIzNzlkNTIxMmZkNmVjZmE0YjJkNTUxYmMwZWYiLCJ1c2VySWQiOiI1ODIxNTk5MDgifQ==</vt:lpwstr>
  </property>
</Properties>
</file>