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高速公路改扩建路基拼宽施工技术分析</w:t>
      </w:r>
    </w:p>
    <w:p w14:paraId="40823F4B">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textAlignment w:val="auto"/>
        <w:rPr>
          <w:rFonts w:ascii="宋体" w:eastAsia="宋体" w:hAnsi="宋体" w:cs="宋体" w:hint="eastAsia"/>
          <w:b w:val="0"/>
          <w:bCs w:val="0"/>
          <w:sz w:val="21"/>
          <w:szCs w:val="21"/>
        </w:rPr>
      </w:pPr>
    </w:p>
    <w:p w14:paraId="3EDBD2C5">
      <w:pPr>
        <w:keepNext w:val="0"/>
        <w:keepLines w:val="0"/>
        <w:pageBreakBefore w:val="0"/>
        <w:widowControl/>
        <w:suppressLineNumbers w:val="0"/>
        <w:kinsoku/>
        <w:overflowPunct/>
        <w:topLinePunct w:val="0"/>
        <w:bidi w:val="0"/>
        <w:adjustRightInd/>
        <w:snapToGrid w:val="0"/>
        <w:spacing w:before="0" w:beforeAutospacing="0" w:after="0" w:afterAutospacing="0" w:line="360" w:lineRule="auto"/>
        <w:ind w:firstLine="420" w:firstLineChars="200"/>
        <w:jc w:val="left"/>
        <w:textAlignment w:val="auto"/>
        <w:rPr>
          <w:rFonts w:ascii="宋体" w:eastAsia="宋体" w:hAnsi="宋体" w:cs="宋体" w:hint="eastAsia"/>
          <w:b w:val="0"/>
          <w:bCs w:val="0"/>
          <w:kern w:val="0"/>
          <w:sz w:val="21"/>
          <w:szCs w:val="21"/>
          <w:lang w:val="en-US" w:eastAsia="zh-CN" w:bidi="ar"/>
        </w:rPr>
      </w:pPr>
      <w:r>
        <w:rPr>
          <w:rFonts w:ascii="宋体" w:eastAsia="宋体" w:hAnsi="宋体" w:cs="宋体" w:hint="eastAsia"/>
          <w:b w:val="0"/>
          <w:bCs w:val="0"/>
          <w:kern w:val="0"/>
          <w:sz w:val="21"/>
          <w:szCs w:val="21"/>
          <w:lang w:val="en-US" w:eastAsia="zh-CN" w:bidi="ar"/>
        </w:rPr>
        <w:t>摘要：</w:t>
      </w:r>
      <w:r>
        <w:rPr>
          <w:rFonts w:ascii="宋体" w:eastAsia="宋体" w:hAnsi="宋体" w:cs="宋体" w:hint="eastAsia"/>
          <w:b w:val="0"/>
          <w:bCs w:val="0"/>
          <w:kern w:val="0"/>
          <w:sz w:val="21"/>
          <w:szCs w:val="21"/>
          <w:lang w:val="en-US" w:eastAsia="zh-CN" w:bidi="ar"/>
        </w:rPr>
        <w:t>新旧路基接缝处理不当是导致改扩建项目纵向裂缝以及差异沉降的主要因素。依托双向四车道改八车道高速拼宽工程建立试验段，用击实试验确定填料的击实参数、碾压控制参数，用台阶开挖、土工格栅加筋、搭接区加固的方式进行现场施工。对比不同的填筑层位压实的效果以及沉降的发展情况。从试验结果可以看出台阶尺寸控制好、填料含水率控制好、碾压工序控制好可以将拼宽段工后沉降控制在规范允许范围内。本文参数适合于本项目粉质黏土场地的使用，其他地质条件路段要重新做试验段。</w:t>
      </w:r>
    </w:p>
    <w:p w14:paraId="7F95975D">
      <w:pPr>
        <w:keepNext w:val="0"/>
        <w:keepLines w:val="0"/>
        <w:pageBreakBefore w:val="0"/>
        <w:widowControl/>
        <w:suppressLineNumbers w:val="0"/>
        <w:kinsoku/>
        <w:overflowPunct/>
        <w:topLinePunct w:val="0"/>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kern w:val="0"/>
          <w:sz w:val="21"/>
          <w:szCs w:val="21"/>
          <w:lang w:val="en-US" w:eastAsia="zh-CN" w:bidi="ar"/>
        </w:rPr>
      </w:pPr>
      <w:r>
        <w:rPr>
          <w:rFonts w:ascii="宋体" w:eastAsia="宋体" w:hAnsi="宋体" w:cs="宋体" w:hint="eastAsia"/>
          <w:b w:val="0"/>
          <w:bCs w:val="0"/>
          <w:kern w:val="0"/>
          <w:sz w:val="21"/>
          <w:szCs w:val="21"/>
          <w:lang w:val="en-US" w:eastAsia="zh-CN" w:bidi="ar"/>
        </w:rPr>
        <w:t>关键词：高速公路；路基拼宽；新旧路基衔接；差异沉降；土工格栅</w:t>
      </w:r>
    </w:p>
    <w:p w14:paraId="4A560831">
      <w:pPr>
        <w:keepNext w:val="0"/>
        <w:keepLines w:val="0"/>
        <w:pageBreakBefore w:val="0"/>
        <w:widowControl/>
        <w:suppressLineNumbers w:val="0"/>
        <w:kinsoku/>
        <w:overflowPunct/>
        <w:topLinePunct w:val="0"/>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kern w:val="0"/>
          <w:sz w:val="21"/>
          <w:szCs w:val="21"/>
          <w:lang w:val="en-US" w:eastAsia="zh-CN" w:bidi="ar"/>
        </w:rPr>
      </w:pPr>
      <w:r>
        <w:rPr>
          <w:rFonts w:ascii="宋体" w:eastAsia="宋体" w:hAnsi="宋体" w:cs="宋体" w:hint="eastAsia"/>
          <w:b w:val="0"/>
          <w:bCs w:val="0"/>
          <w:kern w:val="0"/>
          <w:sz w:val="21"/>
          <w:szCs w:val="21"/>
          <w:lang w:val="en-US" w:eastAsia="zh-CN" w:bidi="ar"/>
        </w:rPr>
        <w:t>引言</w:t>
      </w:r>
    </w:p>
    <w:p w14:paraId="00BE47E8">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高速公路改扩建路基拼宽大多是在半幅保通的情况下进行的，旧路基经过多年的固结沉降趋于稳定，新填筑路基的固结时间长，变形速度不同。台阶开挖、填料摊铺、加筋铺设等工序施工控制误差会造成沉降差变大，造成路面开裂。以某处改扩建工程为依托，以试验段工艺参数整理拼宽前置处理、填筑压实、加筋补强施工工艺为研究内容，利用现场检测数据提出可行的质量控制措施，为类似拼宽路基施工提供一定的参考。</w:t>
      </w:r>
    </w:p>
    <w:p w14:paraId="4906226C">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1路基拼宽施工前期准备与旧路处置</w:t>
      </w:r>
    </w:p>
    <w:p w14:paraId="15454BCF">
      <w:pPr>
        <w:pStyle w:val="Heading3"/>
        <w:keepNext w:val="0"/>
        <w:keepLines w:val="0"/>
        <w:pageBreakBefore w:val="0"/>
        <w:widowControl/>
        <w:suppressLineNumbers w:val="0"/>
        <w:kinsoku/>
        <w:overflowPunct/>
        <w:topLinePunct w:val="0"/>
        <w:bidi w:val="0"/>
        <w:adjustRightInd/>
        <w:snapToGrid w:val="0"/>
        <w:spacing w:beforeAutospacing="0" w:afterAutospacing="0" w:line="360" w:lineRule="auto"/>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1.1施工方案设计与工序总体安排</w:t>
      </w:r>
    </w:p>
    <w:p w14:paraId="54CAF1F9">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拓宽方案应以现有的路基勘探资料、边坡稳定性验算结果为依据，不能套用通用做法。本项目拼宽段填高2.0～4.8m，局部浅层有软弱粉质黏土，方案采用台阶搭接加分层土工格栅加筋。工序按照基底清理→台阶开挖→基底压实验收→分层填筑加筋→搭接区加强→沉降观测的顺序开展，采用随挖随填、分层成型的原则，防止台阶长时间暴露在雨水的浸泡中而变软。施工前布设试验段，主要确定填料最佳含水率、虚铺厚度、碾压遍数等指标，试验段得到的工艺参数为全线施工的控制标准。并规划保通围挡、临时排水沟，防止地表水长时间浸入拼宽基底造成土体强度降低</w:t>
      </w:r>
      <w:r>
        <w:rPr>
          <w:rFonts w:ascii="宋体" w:eastAsia="宋体" w:hAnsi="宋体" w:cs="宋体" w:hint="eastAsia"/>
          <w:b w:val="0"/>
          <w:bCs w:val="0"/>
          <w:color w:val="auto"/>
          <w:sz w:val="21"/>
          <w:szCs w:val="21"/>
          <w:highlight w:val="yellow"/>
          <w:vertAlign w:val="superscript"/>
          <w:lang w:val="en-US" w:eastAsia="zh-CN"/>
        </w:rPr>
        <w:t>[1]</w:t>
      </w:r>
      <w:r>
        <w:rPr>
          <w:rFonts w:ascii="宋体" w:eastAsia="宋体" w:hAnsi="宋体" w:cs="宋体" w:hint="eastAsia"/>
          <w:b w:val="0"/>
          <w:bCs w:val="0"/>
          <w:sz w:val="21"/>
          <w:szCs w:val="21"/>
        </w:rPr>
        <w:t>。</w:t>
      </w:r>
    </w:p>
    <w:p w14:paraId="6B216719">
      <w:pPr>
        <w:pStyle w:val="Heading3"/>
        <w:keepNext w:val="0"/>
        <w:keepLines w:val="0"/>
        <w:pageBreakBefore w:val="0"/>
        <w:widowControl/>
        <w:suppressLineNumbers w:val="0"/>
        <w:kinsoku/>
        <w:overflowPunct/>
        <w:topLinePunct w:val="0"/>
        <w:bidi w:val="0"/>
        <w:adjustRightInd/>
        <w:snapToGrid w:val="0"/>
        <w:spacing w:beforeAutospacing="0" w:afterAutospacing="0" w:line="360" w:lineRule="auto"/>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1.2旧路基开挖与台阶搭接处理</w:t>
      </w:r>
    </w:p>
    <w:p w14:paraId="091894BE">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台阶开挖是保证新旧路基咬合的重要工序，开挖方向自上而下逐级进行，禁止自下而上掏挖。本项目台阶高度统一取0.8m，台阶宽度1.2m，台阶面向内侧设2%反向横坡，防止积水积聚在结合面上。填高大于3.5m的高填方路段，底层台阶加宽至1.5m，加强底部的咬合。开挖完毕后人工清理台阶面浮土、松散颗粒，用小型夯实机具夯实台阶表面。台阶验收合格之后可以开始填筑作业。开挖结束后清理台阶面的浮土和松散颗粒，用小型夯实机对台阶表层进行补压。台阶验收合格后才可以进行填筑工作。开挖后如遇连续暴雨，台阶表面土体受水浸软化，应清除表层30cm土体再晾晒压实后方可进行填筑。台阶尺寸误差、结合面松动都会降低新旧路基的传力性能。台阶内侧设置2%反向横坡以防止积水在新旧路基结合面处滞留，台阶搭接构造形式如图1所示。</w:t>
      </w:r>
    </w:p>
    <w:p w14:paraId="36C622DE">
      <w:pPr>
        <w:pStyle w:val="NormalWeb"/>
        <w:keepNext w:val="0"/>
        <w:keepLines w:val="0"/>
        <w:pageBreakBefore w:val="0"/>
        <w:widowControl/>
        <w:suppressLineNumbers w:val="0"/>
        <w:kinsoku/>
        <w:overflowPunct/>
        <w:topLinePunct w:val="0"/>
        <w:bidi w:val="0"/>
        <w:adjustRightInd/>
        <w:snapToGrid/>
        <w:spacing w:beforeAutospacing="0" w:afterAutospacing="0" w:line="360" w:lineRule="auto"/>
        <w:ind w:firstLine="420" w:firstLineChars="200"/>
        <w:jc w:val="center"/>
        <w:textAlignment w:val="auto"/>
        <w:rPr>
          <w:rFonts w:ascii="宋体" w:eastAsia="宋体" w:hAnsi="宋体" w:cs="宋体" w:hint="eastAsia"/>
          <w:b w:val="0"/>
          <w:bCs w:val="0"/>
          <w:sz w:val="21"/>
          <w:szCs w:val="21"/>
          <w:lang w:eastAsia="zh-CN"/>
        </w:rPr>
      </w:pPr>
      <w:r>
        <w:rPr>
          <w:rFonts w:ascii="宋体" w:eastAsia="宋体" w:hAnsi="宋体" w:cs="宋体" w:hint="eastAsia"/>
          <w:b w:val="0"/>
          <w:bCs w:val="0"/>
          <w:sz w:val="21"/>
          <w:szCs w:val="21"/>
          <w:lang w:eastAsia="zh-CN"/>
        </w:rPr>
        <w:drawing>
          <wp:inline distT="0" distB="0" distL="114300" distR="114300">
            <wp:extent cx="3389630" cy="2245995"/>
            <wp:effectExtent l="0" t="0" r="0" b="0"/>
            <wp:docPr id="1" name="图片 1" descr="工程类论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工程类论文 (8)"/>
                    <pic:cNvPicPr>
                      <a:picLocks noChangeAspect="1"/>
                    </pic:cNvPicPr>
                  </pic:nvPicPr>
                  <pic:blipFill>
                    <a:blip xmlns:r="http://schemas.openxmlformats.org/officeDocument/2006/relationships" r:embed="rId4"/>
                    <a:srcRect l="2887" t="14515" r="5928" b="4380"/>
                    <a:stretch>
                      <a:fillRect/>
                    </a:stretch>
                  </pic:blipFill>
                  <pic:spPr>
                    <a:xfrm>
                      <a:off x="0" y="0"/>
                      <a:ext cx="3389630" cy="2245995"/>
                    </a:xfrm>
                    <a:prstGeom prst="rect">
                      <a:avLst/>
                    </a:prstGeom>
                  </pic:spPr>
                </pic:pic>
              </a:graphicData>
            </a:graphic>
          </wp:inline>
        </w:drawing>
      </w:r>
    </w:p>
    <w:p w14:paraId="74754119">
      <w:pPr>
        <w:pStyle w:val="NormalWeb"/>
        <w:keepNext w:val="0"/>
        <w:keepLines w:val="0"/>
        <w:pageBreakBefore w:val="0"/>
        <w:widowControl/>
        <w:suppressLineNumbers w:val="0"/>
        <w:kinsoku/>
        <w:overflowPunct/>
        <w:topLinePunct w:val="0"/>
        <w:bidi w:val="0"/>
        <w:adjustRightInd/>
        <w:snapToGrid/>
        <w:spacing w:beforeAutospacing="0" w:afterAutospacing="0" w:line="360" w:lineRule="auto"/>
        <w:ind w:firstLine="420" w:firstLineChars="200"/>
        <w:jc w:val="center"/>
        <w:textAlignment w:val="auto"/>
        <w:rPr>
          <w:rFonts w:ascii="宋体" w:eastAsia="宋体" w:hAnsi="宋体" w:cs="宋体" w:hint="default"/>
          <w:b w:val="0"/>
          <w:bCs w:val="0"/>
          <w:sz w:val="21"/>
          <w:szCs w:val="21"/>
          <w:lang w:val="en-US" w:eastAsia="zh-CN"/>
        </w:rPr>
      </w:pPr>
      <w:r>
        <w:rPr>
          <w:rFonts w:ascii="宋体" w:eastAsia="宋体" w:hAnsi="宋体" w:cs="宋体" w:hint="eastAsia"/>
          <w:b w:val="0"/>
          <w:bCs w:val="0"/>
          <w:sz w:val="21"/>
          <w:szCs w:val="21"/>
          <w:lang w:val="en-US" w:eastAsia="zh-CN"/>
        </w:rPr>
        <w:t>图1新旧路基台阶搭接构造示意图</w:t>
      </w:r>
    </w:p>
    <w:p w14:paraId="432CBF31">
      <w:pPr>
        <w:pStyle w:val="Heading3"/>
        <w:keepNext w:val="0"/>
        <w:keepLines w:val="0"/>
        <w:pageBreakBefore w:val="0"/>
        <w:widowControl/>
        <w:suppressLineNumbers w:val="0"/>
        <w:kinsoku/>
        <w:overflowPunct/>
        <w:topLinePunct w:val="0"/>
        <w:bidi w:val="0"/>
        <w:adjustRightInd/>
        <w:snapToGrid w:val="0"/>
        <w:spacing w:beforeAutospacing="0" w:afterAutospacing="0" w:line="360" w:lineRule="auto"/>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1.3既有边坡与基底清理处置</w:t>
      </w:r>
    </w:p>
    <w:p w14:paraId="6C4790F8">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在拼宽范围内原地面、旧路边坡表层腐殖土、杂草、松散风化层全部清除，清表深度不小于30cm，清表范围大于拼宽坡脚外侧50cm。对边坡局部滑塌、土质松软的地段削坡至稳定的坡面，然后进行台阶开挖。基底土天然含水率高于最佳含水率5%以上的地方用翻拌晾晒法，浅层软弱土层厚度＜80cm时直接换填碎石垫层。基底清理平整后做基底压实度检测，基底压实度≥90%。将原有的横向排水设施一起改造，设置临时引排通道，防止地下水流入到拼宽基底。</w:t>
      </w:r>
    </w:p>
    <w:p w14:paraId="16D62E3B">
      <w:pPr>
        <w:pStyle w:val="Heading3"/>
        <w:keepNext w:val="0"/>
        <w:keepLines w:val="0"/>
        <w:pageBreakBefore w:val="0"/>
        <w:widowControl/>
        <w:suppressLineNumbers w:val="0"/>
        <w:kinsoku/>
        <w:overflowPunct/>
        <w:topLinePunct w:val="0"/>
        <w:bidi w:val="0"/>
        <w:adjustRightInd/>
        <w:snapToGrid w:val="0"/>
        <w:spacing w:beforeAutospacing="0" w:afterAutospacing="0" w:line="360" w:lineRule="auto"/>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1.4施工准备条件与前置质量要求</w:t>
      </w:r>
    </w:p>
    <w:p w14:paraId="2AEEF1DF">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进场后首先做填料土工试验，测得填料的颗粒级配、击实指标及液塑限，选择合适的填筑土料。本项目选择沿线开挖的粉质黏土作填料，击实试验结果见表1。压实机选用了25t振动压路机、小型手扶夯机一起对搭接盲区做补压。</w:t>
      </w:r>
    </w:p>
    <w:p w14:paraId="6E3E5892">
      <w:pPr>
        <w:pStyle w:val="NormalWeb"/>
        <w:keepNext w:val="0"/>
        <w:keepLines w:val="0"/>
        <w:pageBreakBefore w:val="0"/>
        <w:widowControl/>
        <w:suppressLineNumbers w:val="0"/>
        <w:kinsoku/>
        <w:overflowPunct/>
        <w:topLinePunct w:val="0"/>
        <w:bidi w:val="0"/>
        <w:adjustRightInd/>
        <w:snapToGrid/>
        <w:spacing w:beforeAutospacing="0" w:afterAutospacing="0" w:line="360" w:lineRule="auto"/>
        <w:ind w:firstLine="1260" w:firstLineChars="6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表1</w:t>
      </w:r>
      <w:r>
        <w:rPr>
          <w:rFonts w:ascii="宋体" w:eastAsia="宋体" w:hAnsi="宋体" w:cs="宋体" w:hint="eastAsia"/>
          <w:b w:val="0"/>
          <w:bCs w:val="0"/>
          <w:sz w:val="21"/>
          <w:szCs w:val="21"/>
          <w:lang w:val="en-US" w:eastAsia="zh-CN"/>
        </w:rPr>
        <w:t xml:space="preserve">             </w:t>
      </w:r>
      <w:r>
        <w:rPr>
          <w:rFonts w:ascii="宋体" w:eastAsia="宋体" w:hAnsi="宋体" w:cs="宋体" w:hint="eastAsia"/>
          <w:b w:val="0"/>
          <w:bCs w:val="0"/>
          <w:sz w:val="21"/>
          <w:szCs w:val="21"/>
        </w:rPr>
        <w:t>填料击实试验基础参数</w:t>
      </w:r>
    </w:p>
    <w:tbl>
      <w:tblPr>
        <w:tblStyle w:val="TableNormal"/>
        <w:tblW w:w="4998" w:type="pct"/>
        <w:jc w:val="center"/>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
      <w:tblGrid>
        <w:gridCol w:w="1178"/>
        <w:gridCol w:w="1159"/>
        <w:gridCol w:w="1708"/>
        <w:gridCol w:w="2538"/>
        <w:gridCol w:w="895"/>
        <w:gridCol w:w="915"/>
      </w:tblGrid>
      <w:tr w14:paraId="727541B1">
        <w:tblPrEx>
          <w:tblW w:w="4998" w:type="pct"/>
          <w:jc w:val="center"/>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Ex>
        <w:trPr>
          <w:trHeight w:hRule="auto" w:val="0"/>
          <w:tblHeader/>
          <w:tblCellSpacing w:w="15" w:type="dxa"/>
          <w:jc w:val="center"/>
        </w:trPr>
        <w:tc>
          <w:tcPr>
            <w:tcW w:w="675" w:type="pct"/>
            <w:tcBorders>
              <w:top w:val="single" w:sz="12" w:space="0" w:color="auto"/>
              <w:left w:val="nil"/>
              <w:bottom w:val="nil"/>
              <w:right w:val="nil"/>
            </w:tcBorders>
            <w:shd w:val="clear" w:color="auto" w:fill="auto"/>
            <w:noWrap w:val="0"/>
            <w:tcMar>
              <w:top w:w="-1" w:type="dxa"/>
              <w:left w:w="-1" w:type="dxa"/>
              <w:bottom w:w="-1" w:type="dxa"/>
              <w:right w:w="-1" w:type="dxa"/>
            </w:tcMar>
            <w:vAlign w:val="center"/>
          </w:tcPr>
          <w:p w14:paraId="0D3B9316">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bCs w:val="0"/>
                <w:sz w:val="21"/>
                <w:szCs w:val="21"/>
              </w:rPr>
            </w:pPr>
            <w:r>
              <w:rPr>
                <w:rFonts w:ascii="宋体" w:eastAsia="宋体" w:hAnsi="宋体" w:cs="宋体" w:hint="eastAsia"/>
                <w:b/>
                <w:bCs w:val="0"/>
                <w:kern w:val="0"/>
                <w:sz w:val="21"/>
                <w:szCs w:val="21"/>
                <w:lang w:val="en-US" w:eastAsia="zh-CN" w:bidi="ar"/>
              </w:rPr>
              <w:t>试样编号</w:t>
            </w:r>
          </w:p>
        </w:tc>
        <w:tc>
          <w:tcPr>
            <w:tcW w:w="672" w:type="pct"/>
            <w:tcBorders>
              <w:top w:val="single" w:sz="12" w:space="0" w:color="auto"/>
              <w:left w:val="nil"/>
              <w:bottom w:val="nil"/>
              <w:right w:val="nil"/>
            </w:tcBorders>
            <w:shd w:val="clear" w:color="auto" w:fill="auto"/>
            <w:noWrap w:val="0"/>
            <w:tcMar>
              <w:top w:w="-1" w:type="dxa"/>
              <w:left w:w="-1" w:type="dxa"/>
              <w:bottom w:w="-1" w:type="dxa"/>
              <w:right w:w="-1" w:type="dxa"/>
            </w:tcMar>
            <w:vAlign w:val="center"/>
          </w:tcPr>
          <w:p w14:paraId="5B1AE6E1">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bCs w:val="0"/>
                <w:sz w:val="21"/>
                <w:szCs w:val="21"/>
              </w:rPr>
            </w:pPr>
            <w:r>
              <w:rPr>
                <w:rFonts w:ascii="宋体" w:eastAsia="宋体" w:hAnsi="宋体" w:cs="宋体" w:hint="eastAsia"/>
                <w:b/>
                <w:bCs w:val="0"/>
                <w:kern w:val="0"/>
                <w:sz w:val="21"/>
                <w:szCs w:val="21"/>
                <w:lang w:val="en-US" w:eastAsia="zh-CN" w:bidi="ar"/>
              </w:rPr>
              <w:t>填料类型</w:t>
            </w:r>
          </w:p>
        </w:tc>
        <w:tc>
          <w:tcPr>
            <w:tcW w:w="999" w:type="pct"/>
            <w:tcBorders>
              <w:top w:val="single" w:sz="12" w:space="0" w:color="auto"/>
              <w:left w:val="nil"/>
              <w:bottom w:val="nil"/>
              <w:right w:val="nil"/>
            </w:tcBorders>
            <w:shd w:val="clear" w:color="auto" w:fill="auto"/>
            <w:noWrap w:val="0"/>
            <w:tcMar>
              <w:top w:w="-1" w:type="dxa"/>
              <w:left w:w="-1" w:type="dxa"/>
              <w:bottom w:w="-1" w:type="dxa"/>
              <w:right w:w="-1" w:type="dxa"/>
            </w:tcMar>
            <w:vAlign w:val="center"/>
          </w:tcPr>
          <w:p w14:paraId="1F8E61F2">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bCs w:val="0"/>
                <w:sz w:val="21"/>
                <w:szCs w:val="21"/>
              </w:rPr>
            </w:pPr>
            <w:r>
              <w:rPr>
                <w:rFonts w:ascii="宋体" w:eastAsia="宋体" w:hAnsi="宋体" w:cs="宋体" w:hint="eastAsia"/>
                <w:b/>
                <w:bCs w:val="0"/>
                <w:kern w:val="0"/>
                <w:sz w:val="21"/>
                <w:szCs w:val="21"/>
                <w:lang w:val="en-US" w:eastAsia="zh-CN" w:bidi="ar"/>
              </w:rPr>
              <w:t>最佳含水率/%</w:t>
            </w:r>
          </w:p>
        </w:tc>
        <w:tc>
          <w:tcPr>
            <w:tcW w:w="1493" w:type="pct"/>
            <w:tcBorders>
              <w:top w:val="single" w:sz="12" w:space="0" w:color="auto"/>
              <w:left w:val="nil"/>
              <w:bottom w:val="nil"/>
              <w:right w:val="nil"/>
            </w:tcBorders>
            <w:shd w:val="clear" w:color="auto" w:fill="auto"/>
            <w:noWrap w:val="0"/>
            <w:tcMar>
              <w:top w:w="-1" w:type="dxa"/>
              <w:left w:w="-1" w:type="dxa"/>
              <w:bottom w:w="-1" w:type="dxa"/>
              <w:right w:w="-1" w:type="dxa"/>
            </w:tcMar>
            <w:vAlign w:val="center"/>
          </w:tcPr>
          <w:p w14:paraId="6014DFD6">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bCs w:val="0"/>
                <w:sz w:val="21"/>
                <w:szCs w:val="21"/>
              </w:rPr>
            </w:pPr>
            <w:r>
              <w:rPr>
                <w:rFonts w:ascii="宋体" w:eastAsia="宋体" w:hAnsi="宋体" w:cs="宋体" w:hint="eastAsia"/>
                <w:b/>
                <w:bCs w:val="0"/>
                <w:kern w:val="0"/>
                <w:sz w:val="21"/>
                <w:szCs w:val="21"/>
                <w:lang w:val="en-US" w:eastAsia="zh-CN" w:bidi="ar"/>
              </w:rPr>
              <w:t>最大干密度/(g·cm⁻³)</w:t>
            </w:r>
          </w:p>
        </w:tc>
        <w:tc>
          <w:tcPr>
            <w:tcW w:w="515" w:type="pct"/>
            <w:tcBorders>
              <w:top w:val="single" w:sz="12" w:space="0" w:color="auto"/>
              <w:left w:val="nil"/>
              <w:bottom w:val="nil"/>
              <w:right w:val="nil"/>
            </w:tcBorders>
            <w:shd w:val="clear" w:color="auto" w:fill="auto"/>
            <w:noWrap w:val="0"/>
            <w:tcMar>
              <w:top w:w="-1" w:type="dxa"/>
              <w:left w:w="-1" w:type="dxa"/>
              <w:bottom w:w="-1" w:type="dxa"/>
              <w:right w:w="-1" w:type="dxa"/>
            </w:tcMar>
            <w:vAlign w:val="center"/>
          </w:tcPr>
          <w:p w14:paraId="7D794A38">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bCs w:val="0"/>
                <w:sz w:val="21"/>
                <w:szCs w:val="21"/>
              </w:rPr>
            </w:pPr>
            <w:r>
              <w:rPr>
                <w:rFonts w:ascii="宋体" w:eastAsia="宋体" w:hAnsi="宋体" w:cs="宋体" w:hint="eastAsia"/>
                <w:b/>
                <w:bCs w:val="0"/>
                <w:kern w:val="0"/>
                <w:sz w:val="21"/>
                <w:szCs w:val="21"/>
                <w:lang w:val="en-US" w:eastAsia="zh-CN" w:bidi="ar"/>
              </w:rPr>
              <w:t>液限/%</w:t>
            </w:r>
          </w:p>
        </w:tc>
        <w:tc>
          <w:tcPr>
            <w:tcW w:w="518" w:type="pct"/>
            <w:tcBorders>
              <w:top w:val="single" w:sz="12" w:space="0" w:color="auto"/>
              <w:left w:val="nil"/>
              <w:bottom w:val="nil"/>
              <w:right w:val="nil"/>
            </w:tcBorders>
            <w:shd w:val="clear" w:color="auto" w:fill="auto"/>
            <w:noWrap w:val="0"/>
            <w:tcMar>
              <w:top w:w="-1" w:type="dxa"/>
              <w:left w:w="-1" w:type="dxa"/>
              <w:bottom w:w="-1" w:type="dxa"/>
              <w:right w:w="-1" w:type="dxa"/>
            </w:tcMar>
            <w:vAlign w:val="center"/>
          </w:tcPr>
          <w:p w14:paraId="3AB4A0D1">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bCs w:val="0"/>
                <w:sz w:val="21"/>
                <w:szCs w:val="21"/>
              </w:rPr>
            </w:pPr>
            <w:r>
              <w:rPr>
                <w:rFonts w:ascii="宋体" w:eastAsia="宋体" w:hAnsi="宋体" w:cs="宋体" w:hint="eastAsia"/>
                <w:b/>
                <w:bCs w:val="0"/>
                <w:kern w:val="0"/>
                <w:sz w:val="21"/>
                <w:szCs w:val="21"/>
                <w:lang w:val="en-US" w:eastAsia="zh-CN" w:bidi="ar"/>
              </w:rPr>
              <w:t>塑限/%</w:t>
            </w:r>
          </w:p>
        </w:tc>
      </w:tr>
      <w:tr w14:paraId="7483E072">
        <w:tblPrEx>
          <w:tblW w:w="4998" w:type="pct"/>
          <w:jc w:val="center"/>
          <w:tblCellSpacing w:w="15" w:type="dxa"/>
          <w:shd w:val="clear" w:color="auto" w:fill="auto"/>
          <w:tblCellMar>
            <w:top w:w="15" w:type="dxa"/>
            <w:left w:w="15" w:type="dxa"/>
            <w:bottom w:w="15" w:type="dxa"/>
            <w:right w:w="15" w:type="dxa"/>
          </w:tblCellMar>
        </w:tblPrEx>
        <w:trPr>
          <w:trHeight w:hRule="auto" w:val="0"/>
          <w:tblCellSpacing w:w="15" w:type="dxa"/>
          <w:jc w:val="center"/>
        </w:trPr>
        <w:tc>
          <w:tcPr>
            <w:tcW w:w="675" w:type="pct"/>
            <w:tcBorders>
              <w:top w:val="single" w:sz="4" w:space="0" w:color="auto"/>
              <w:left w:val="nil"/>
              <w:bottom w:val="nil"/>
              <w:right w:val="nil"/>
            </w:tcBorders>
            <w:shd w:val="clear" w:color="auto" w:fill="auto"/>
            <w:noWrap w:val="0"/>
            <w:tcMar>
              <w:top w:w="-1" w:type="dxa"/>
              <w:left w:w="-1" w:type="dxa"/>
              <w:bottom w:w="-1" w:type="dxa"/>
              <w:right w:w="-1" w:type="dxa"/>
            </w:tcMar>
            <w:vAlign w:val="center"/>
          </w:tcPr>
          <w:p w14:paraId="7C0729C1">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S-01</w:t>
            </w:r>
          </w:p>
        </w:tc>
        <w:tc>
          <w:tcPr>
            <w:tcW w:w="672" w:type="pct"/>
            <w:tcBorders>
              <w:top w:val="single" w:sz="4" w:space="0" w:color="auto"/>
              <w:left w:val="nil"/>
              <w:bottom w:val="nil"/>
              <w:right w:val="nil"/>
            </w:tcBorders>
            <w:shd w:val="clear" w:color="auto" w:fill="auto"/>
            <w:noWrap w:val="0"/>
            <w:tcMar>
              <w:top w:w="-1" w:type="dxa"/>
              <w:left w:w="-1" w:type="dxa"/>
              <w:bottom w:w="-1" w:type="dxa"/>
              <w:right w:w="-1" w:type="dxa"/>
            </w:tcMar>
            <w:vAlign w:val="center"/>
          </w:tcPr>
          <w:p w14:paraId="390A1086">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粉质黏土</w:t>
            </w:r>
          </w:p>
        </w:tc>
        <w:tc>
          <w:tcPr>
            <w:tcW w:w="999" w:type="pct"/>
            <w:tcBorders>
              <w:top w:val="single" w:sz="4" w:space="0" w:color="auto"/>
              <w:left w:val="nil"/>
              <w:bottom w:val="nil"/>
              <w:right w:val="nil"/>
            </w:tcBorders>
            <w:shd w:val="clear" w:color="auto" w:fill="auto"/>
            <w:noWrap w:val="0"/>
            <w:tcMar>
              <w:top w:w="-1" w:type="dxa"/>
              <w:left w:w="-1" w:type="dxa"/>
              <w:bottom w:w="-1" w:type="dxa"/>
              <w:right w:w="-1" w:type="dxa"/>
            </w:tcMar>
            <w:vAlign w:val="center"/>
          </w:tcPr>
          <w:p w14:paraId="4D3D070A">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12.7</w:t>
            </w:r>
          </w:p>
        </w:tc>
        <w:tc>
          <w:tcPr>
            <w:tcW w:w="1493" w:type="pct"/>
            <w:tcBorders>
              <w:top w:val="single" w:sz="4" w:space="0" w:color="auto"/>
              <w:left w:val="nil"/>
              <w:bottom w:val="nil"/>
              <w:right w:val="nil"/>
            </w:tcBorders>
            <w:shd w:val="clear" w:color="auto" w:fill="auto"/>
            <w:noWrap w:val="0"/>
            <w:tcMar>
              <w:top w:w="-1" w:type="dxa"/>
              <w:left w:w="-1" w:type="dxa"/>
              <w:bottom w:w="-1" w:type="dxa"/>
              <w:right w:w="-1" w:type="dxa"/>
            </w:tcMar>
            <w:vAlign w:val="center"/>
          </w:tcPr>
          <w:p w14:paraId="6F7B068D">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1.92</w:t>
            </w:r>
          </w:p>
        </w:tc>
        <w:tc>
          <w:tcPr>
            <w:tcW w:w="515" w:type="pct"/>
            <w:tcBorders>
              <w:top w:val="single" w:sz="4" w:space="0" w:color="auto"/>
              <w:left w:val="nil"/>
              <w:bottom w:val="nil"/>
              <w:right w:val="nil"/>
            </w:tcBorders>
            <w:shd w:val="clear" w:color="auto" w:fill="auto"/>
            <w:noWrap w:val="0"/>
            <w:tcMar>
              <w:top w:w="-1" w:type="dxa"/>
              <w:left w:w="-1" w:type="dxa"/>
              <w:bottom w:w="-1" w:type="dxa"/>
              <w:right w:w="-1" w:type="dxa"/>
            </w:tcMar>
            <w:vAlign w:val="center"/>
          </w:tcPr>
          <w:p w14:paraId="110732D6">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34.2</w:t>
            </w:r>
          </w:p>
        </w:tc>
        <w:tc>
          <w:tcPr>
            <w:tcW w:w="518" w:type="pct"/>
            <w:tcBorders>
              <w:top w:val="single" w:sz="4" w:space="0" w:color="auto"/>
              <w:left w:val="nil"/>
              <w:bottom w:val="nil"/>
              <w:right w:val="nil"/>
            </w:tcBorders>
            <w:shd w:val="clear" w:color="auto" w:fill="auto"/>
            <w:noWrap w:val="0"/>
            <w:tcMar>
              <w:top w:w="-1" w:type="dxa"/>
              <w:left w:w="-1" w:type="dxa"/>
              <w:bottom w:w="-1" w:type="dxa"/>
              <w:right w:w="-1" w:type="dxa"/>
            </w:tcMar>
            <w:vAlign w:val="center"/>
          </w:tcPr>
          <w:p w14:paraId="11E1D250">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19.6</w:t>
            </w:r>
          </w:p>
        </w:tc>
      </w:tr>
      <w:tr w14:paraId="08A25E53">
        <w:tblPrEx>
          <w:tblW w:w="4998" w:type="pct"/>
          <w:jc w:val="center"/>
          <w:tblCellSpacing w:w="15" w:type="dxa"/>
          <w:shd w:val="clear" w:color="auto" w:fill="auto"/>
          <w:tblCellMar>
            <w:top w:w="15" w:type="dxa"/>
            <w:left w:w="15" w:type="dxa"/>
            <w:bottom w:w="15" w:type="dxa"/>
            <w:right w:w="15" w:type="dxa"/>
          </w:tblCellMar>
        </w:tblPrEx>
        <w:trPr>
          <w:trHeight w:hRule="auto" w:val="0"/>
          <w:tblCellSpacing w:w="15" w:type="dxa"/>
          <w:jc w:val="center"/>
        </w:trPr>
        <w:tc>
          <w:tcPr>
            <w:tcW w:w="675" w:type="pct"/>
            <w:tcBorders>
              <w:top w:val="nil"/>
              <w:left w:val="nil"/>
              <w:bottom w:val="nil"/>
              <w:right w:val="nil"/>
            </w:tcBorders>
            <w:shd w:val="clear" w:color="auto" w:fill="auto"/>
            <w:noWrap w:val="0"/>
            <w:tcMar>
              <w:top w:w="-1" w:type="dxa"/>
              <w:left w:w="-1" w:type="dxa"/>
              <w:bottom w:w="-1" w:type="dxa"/>
              <w:right w:w="-1" w:type="dxa"/>
            </w:tcMar>
            <w:vAlign w:val="center"/>
          </w:tcPr>
          <w:p w14:paraId="2B248A23">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S-02</w:t>
            </w:r>
          </w:p>
        </w:tc>
        <w:tc>
          <w:tcPr>
            <w:tcW w:w="672" w:type="pct"/>
            <w:tcBorders>
              <w:top w:val="nil"/>
              <w:left w:val="nil"/>
              <w:bottom w:val="nil"/>
              <w:right w:val="nil"/>
            </w:tcBorders>
            <w:shd w:val="clear" w:color="auto" w:fill="auto"/>
            <w:noWrap w:val="0"/>
            <w:tcMar>
              <w:top w:w="-1" w:type="dxa"/>
              <w:left w:w="-1" w:type="dxa"/>
              <w:bottom w:w="-1" w:type="dxa"/>
              <w:right w:w="-1" w:type="dxa"/>
            </w:tcMar>
            <w:vAlign w:val="center"/>
          </w:tcPr>
          <w:p w14:paraId="7A69DFB1">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粉质黏土</w:t>
            </w:r>
          </w:p>
        </w:tc>
        <w:tc>
          <w:tcPr>
            <w:tcW w:w="999" w:type="pct"/>
            <w:tcBorders>
              <w:top w:val="nil"/>
              <w:left w:val="nil"/>
              <w:bottom w:val="nil"/>
              <w:right w:val="nil"/>
            </w:tcBorders>
            <w:shd w:val="clear" w:color="auto" w:fill="auto"/>
            <w:noWrap w:val="0"/>
            <w:tcMar>
              <w:top w:w="-1" w:type="dxa"/>
              <w:left w:w="-1" w:type="dxa"/>
              <w:bottom w:w="-1" w:type="dxa"/>
              <w:right w:w="-1" w:type="dxa"/>
            </w:tcMar>
            <w:vAlign w:val="center"/>
          </w:tcPr>
          <w:p w14:paraId="34DF540C">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12.5</w:t>
            </w:r>
          </w:p>
        </w:tc>
        <w:tc>
          <w:tcPr>
            <w:tcW w:w="1493" w:type="pct"/>
            <w:tcBorders>
              <w:top w:val="nil"/>
              <w:left w:val="nil"/>
              <w:bottom w:val="nil"/>
              <w:right w:val="nil"/>
            </w:tcBorders>
            <w:shd w:val="clear" w:color="auto" w:fill="auto"/>
            <w:noWrap w:val="0"/>
            <w:tcMar>
              <w:top w:w="-1" w:type="dxa"/>
              <w:left w:w="-1" w:type="dxa"/>
              <w:bottom w:w="-1" w:type="dxa"/>
              <w:right w:w="-1" w:type="dxa"/>
            </w:tcMar>
            <w:vAlign w:val="center"/>
          </w:tcPr>
          <w:p w14:paraId="71995171">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1.91</w:t>
            </w:r>
          </w:p>
        </w:tc>
        <w:tc>
          <w:tcPr>
            <w:tcW w:w="515" w:type="pct"/>
            <w:tcBorders>
              <w:top w:val="nil"/>
              <w:left w:val="nil"/>
              <w:bottom w:val="nil"/>
              <w:right w:val="nil"/>
            </w:tcBorders>
            <w:shd w:val="clear" w:color="auto" w:fill="auto"/>
            <w:noWrap w:val="0"/>
            <w:tcMar>
              <w:top w:w="-1" w:type="dxa"/>
              <w:left w:w="-1" w:type="dxa"/>
              <w:bottom w:w="-1" w:type="dxa"/>
              <w:right w:w="-1" w:type="dxa"/>
            </w:tcMar>
            <w:vAlign w:val="center"/>
          </w:tcPr>
          <w:p w14:paraId="27E5C290">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33.8</w:t>
            </w:r>
          </w:p>
        </w:tc>
        <w:tc>
          <w:tcPr>
            <w:tcW w:w="518" w:type="pct"/>
            <w:tcBorders>
              <w:top w:val="nil"/>
              <w:left w:val="nil"/>
              <w:bottom w:val="nil"/>
              <w:right w:val="nil"/>
            </w:tcBorders>
            <w:shd w:val="clear" w:color="auto" w:fill="auto"/>
            <w:noWrap w:val="0"/>
            <w:tcMar>
              <w:top w:w="-1" w:type="dxa"/>
              <w:left w:w="-1" w:type="dxa"/>
              <w:bottom w:w="-1" w:type="dxa"/>
              <w:right w:w="-1" w:type="dxa"/>
            </w:tcMar>
            <w:vAlign w:val="center"/>
          </w:tcPr>
          <w:p w14:paraId="676C9252">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19.2</w:t>
            </w:r>
          </w:p>
        </w:tc>
      </w:tr>
      <w:tr w14:paraId="2DEE48CD">
        <w:tblPrEx>
          <w:tblW w:w="4998" w:type="pct"/>
          <w:jc w:val="center"/>
          <w:tblCellSpacing w:w="15" w:type="dxa"/>
          <w:shd w:val="clear" w:color="auto" w:fill="auto"/>
          <w:tblCellMar>
            <w:top w:w="15" w:type="dxa"/>
            <w:left w:w="15" w:type="dxa"/>
            <w:bottom w:w="15" w:type="dxa"/>
            <w:right w:w="15" w:type="dxa"/>
          </w:tblCellMar>
        </w:tblPrEx>
        <w:trPr>
          <w:trHeight w:hRule="auto" w:val="0"/>
          <w:tblCellSpacing w:w="15" w:type="dxa"/>
          <w:jc w:val="center"/>
        </w:trPr>
        <w:tc>
          <w:tcPr>
            <w:tcW w:w="675" w:type="pct"/>
            <w:tcBorders>
              <w:top w:val="nil"/>
              <w:left w:val="nil"/>
              <w:bottom w:val="single" w:sz="12" w:space="0" w:color="auto"/>
              <w:right w:val="nil"/>
            </w:tcBorders>
            <w:shd w:val="clear" w:color="auto" w:fill="auto"/>
            <w:noWrap w:val="0"/>
            <w:tcMar>
              <w:top w:w="-1" w:type="dxa"/>
              <w:left w:w="-1" w:type="dxa"/>
              <w:bottom w:w="-1" w:type="dxa"/>
              <w:right w:w="-1" w:type="dxa"/>
            </w:tcMar>
            <w:vAlign w:val="center"/>
          </w:tcPr>
          <w:p w14:paraId="2AA888D2">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S-03</w:t>
            </w:r>
          </w:p>
        </w:tc>
        <w:tc>
          <w:tcPr>
            <w:tcW w:w="672" w:type="pct"/>
            <w:tcBorders>
              <w:top w:val="nil"/>
              <w:left w:val="nil"/>
              <w:bottom w:val="single" w:sz="12" w:space="0" w:color="auto"/>
              <w:right w:val="nil"/>
            </w:tcBorders>
            <w:shd w:val="clear" w:color="auto" w:fill="auto"/>
            <w:noWrap w:val="0"/>
            <w:tcMar>
              <w:top w:w="-1" w:type="dxa"/>
              <w:left w:w="-1" w:type="dxa"/>
              <w:bottom w:w="-1" w:type="dxa"/>
              <w:right w:w="-1" w:type="dxa"/>
            </w:tcMar>
            <w:vAlign w:val="center"/>
          </w:tcPr>
          <w:p w14:paraId="71A111D9">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粉质黏土</w:t>
            </w:r>
          </w:p>
        </w:tc>
        <w:tc>
          <w:tcPr>
            <w:tcW w:w="999" w:type="pct"/>
            <w:tcBorders>
              <w:top w:val="nil"/>
              <w:left w:val="nil"/>
              <w:bottom w:val="single" w:sz="12" w:space="0" w:color="auto"/>
              <w:right w:val="nil"/>
            </w:tcBorders>
            <w:shd w:val="clear" w:color="auto" w:fill="auto"/>
            <w:noWrap w:val="0"/>
            <w:tcMar>
              <w:top w:w="-1" w:type="dxa"/>
              <w:left w:w="-1" w:type="dxa"/>
              <w:bottom w:w="-1" w:type="dxa"/>
              <w:right w:w="-1" w:type="dxa"/>
            </w:tcMar>
            <w:vAlign w:val="center"/>
          </w:tcPr>
          <w:p w14:paraId="00FA0F84">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13.1</w:t>
            </w:r>
          </w:p>
        </w:tc>
        <w:tc>
          <w:tcPr>
            <w:tcW w:w="1493" w:type="pct"/>
            <w:tcBorders>
              <w:top w:val="nil"/>
              <w:left w:val="nil"/>
              <w:bottom w:val="single" w:sz="12" w:space="0" w:color="auto"/>
              <w:right w:val="nil"/>
            </w:tcBorders>
            <w:shd w:val="clear" w:color="auto" w:fill="auto"/>
            <w:noWrap w:val="0"/>
            <w:tcMar>
              <w:top w:w="-1" w:type="dxa"/>
              <w:left w:w="-1" w:type="dxa"/>
              <w:bottom w:w="-1" w:type="dxa"/>
              <w:right w:w="-1" w:type="dxa"/>
            </w:tcMar>
            <w:vAlign w:val="center"/>
          </w:tcPr>
          <w:p w14:paraId="39052C37">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1.90</w:t>
            </w:r>
          </w:p>
        </w:tc>
        <w:tc>
          <w:tcPr>
            <w:tcW w:w="515" w:type="pct"/>
            <w:tcBorders>
              <w:top w:val="nil"/>
              <w:left w:val="nil"/>
              <w:bottom w:val="single" w:sz="12" w:space="0" w:color="auto"/>
              <w:right w:val="nil"/>
            </w:tcBorders>
            <w:shd w:val="clear" w:color="auto" w:fill="auto"/>
            <w:noWrap w:val="0"/>
            <w:tcMar>
              <w:top w:w="-1" w:type="dxa"/>
              <w:left w:w="-1" w:type="dxa"/>
              <w:bottom w:w="-1" w:type="dxa"/>
              <w:right w:w="-1" w:type="dxa"/>
            </w:tcMar>
            <w:vAlign w:val="center"/>
          </w:tcPr>
          <w:p w14:paraId="4891D660">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34.5</w:t>
            </w:r>
          </w:p>
        </w:tc>
        <w:tc>
          <w:tcPr>
            <w:tcW w:w="518" w:type="pct"/>
            <w:tcBorders>
              <w:top w:val="nil"/>
              <w:left w:val="nil"/>
              <w:bottom w:val="single" w:sz="12" w:space="0" w:color="auto"/>
              <w:right w:val="nil"/>
            </w:tcBorders>
            <w:shd w:val="clear" w:color="auto" w:fill="auto"/>
            <w:noWrap w:val="0"/>
            <w:tcMar>
              <w:top w:w="-1" w:type="dxa"/>
              <w:left w:w="-1" w:type="dxa"/>
              <w:bottom w:w="-1" w:type="dxa"/>
              <w:right w:w="-1" w:type="dxa"/>
            </w:tcMar>
            <w:vAlign w:val="center"/>
          </w:tcPr>
          <w:p w14:paraId="5BE52CE4">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19.8</w:t>
            </w:r>
          </w:p>
        </w:tc>
      </w:tr>
    </w:tbl>
    <w:p w14:paraId="65C33F81">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测量放样放出拼宽边线、台阶控制线、沉降观测点位，沉降板提前埋设。所有前置工序的验收合格，试验段的参数确定之后就可开始大面积填筑。</w:t>
      </w:r>
    </w:p>
    <w:p w14:paraId="3592936E">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2</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路基拼宽关键施工工艺分析</w:t>
      </w:r>
    </w:p>
    <w:p w14:paraId="7840AB51">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2.1填料选择与摊铺碾压工艺控制</w:t>
      </w:r>
    </w:p>
    <w:p w14:paraId="12097DCB">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拓宽路基填料性能稳定是控制后期不均匀变形的前提，优先选用与原有路基土性接近的粉质黏土，填料内大块硬物、植物残体不得超过15cm。填料进场后分批次做土工击实试验，以试验得到的最优含水率和最大干密度为控制标准，摊铺前根据现场湿度情况确定晾晒或洒水闷料的处理方法，作业时含水率保持在最佳含水率±2%内。摊铺时用推土机粗平，用平地机精平，根据试验段确定的指标控制虚铺厚度为28cm，压实成型后厚度控制在22cm左右。碾压过程是先静压后振压的顺序，用25t振动压路机静压2遍后开振压4遍，最后静压2遍收面，碾压速度控制在2.0km/h～2.5km/h。台阶侧边等大型机具到达不了的地方用小型夯实机进行补压，补夯次数不得少于4次。每层施工结束时在施工面上设检测点，路床压实度控制≥96%，下路床部位压实度控制≥94%，检测结果达不到要求的全部翻挖后重新摊铺碾压</w:t>
      </w:r>
      <w:r>
        <w:rPr>
          <w:rFonts w:ascii="宋体" w:eastAsia="宋体" w:hAnsi="宋体" w:cs="宋体" w:hint="eastAsia"/>
          <w:b w:val="0"/>
          <w:bCs w:val="0"/>
          <w:color w:val="auto"/>
          <w:sz w:val="21"/>
          <w:szCs w:val="21"/>
          <w:highlight w:val="yellow"/>
          <w:vertAlign w:val="superscript"/>
          <w:lang w:val="en-US" w:eastAsia="zh-CN"/>
        </w:rPr>
        <w:t>[2]</w:t>
      </w:r>
      <w:r>
        <w:rPr>
          <w:rFonts w:ascii="宋体" w:eastAsia="宋体" w:hAnsi="宋体" w:cs="宋体" w:hint="eastAsia"/>
          <w:b w:val="0"/>
          <w:bCs w:val="0"/>
          <w:sz w:val="21"/>
          <w:szCs w:val="21"/>
        </w:rPr>
        <w:t>。</w:t>
      </w:r>
    </w:p>
    <w:p w14:paraId="0A468A4D">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2.2加筋材料铺设与锚固固定工艺</w:t>
      </w:r>
    </w:p>
    <w:p w14:paraId="78765F7E">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土工格栅的布置可以提高填料复合体的抗剪强度，减轻新旧路基界面剪切应力，减少拼接处滑移开裂的几率。选择双向土工格栅，材料进场后按批次进行抽检，控制极限抗拉强度不小于80kN/m，延伸率2%对应的抗拉强度不小于25kN/m。格栅布设位置设在基底、填高2m处及路床底面共三层。铺设时把格栅主受力方向垂直于路线走向，人工拉紧后检查面层是否平整，防止褶皱、扭曲现象出现，破损、断丝的格栅直接弃用，不得再使用。相邻两幅格栅搭接宽度不小于30cm，搭接处避开台阶接缝，用U形钢筋钉固定，横向间距1m，纵向间距1.5m，格栅深入旧路基台阶内锚固长度≥2.0m。格栅铺设后48小时内完成上层填料的铺筑，日光长时间曝晒会使材料老化加快，降低材料的长期受力能力，在填筑作业中，重型机械严禁在格栅上直接拖拉行走。格栅铺设、搭接锚固及伸入旧路基台阶的布置方式如图2所示。</w:t>
      </w:r>
    </w:p>
    <w:p w14:paraId="52DF39C8">
      <w:pPr>
        <w:jc w:val="center"/>
        <w:rPr>
          <w:rFonts w:eastAsia="宋体" w:hint="eastAsia"/>
          <w:lang w:eastAsia="zh-CN"/>
        </w:rPr>
      </w:pPr>
      <w:r>
        <w:rPr>
          <w:rFonts w:eastAsia="宋体" w:hint="eastAsia"/>
          <w:lang w:eastAsia="zh-CN"/>
        </w:rPr>
        <w:drawing>
          <wp:inline distT="0" distB="0" distL="114300" distR="114300">
            <wp:extent cx="3470910" cy="2162175"/>
            <wp:effectExtent l="0" t="0" r="0" b="0"/>
            <wp:docPr id="2" name="图片 2" descr="工程类论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工程类论文 (9)"/>
                    <pic:cNvPicPr>
                      <a:picLocks noChangeAspect="1"/>
                    </pic:cNvPicPr>
                  </pic:nvPicPr>
                  <pic:blipFill>
                    <a:blip xmlns:r="http://schemas.openxmlformats.org/officeDocument/2006/relationships" r:embed="rId5"/>
                    <a:srcRect l="1543" t="15835" r="2647" b="4047"/>
                    <a:stretch>
                      <a:fillRect/>
                    </a:stretch>
                  </pic:blipFill>
                  <pic:spPr>
                    <a:xfrm>
                      <a:off x="0" y="0"/>
                      <a:ext cx="3470910" cy="2162175"/>
                    </a:xfrm>
                    <a:prstGeom prst="rect">
                      <a:avLst/>
                    </a:prstGeom>
                  </pic:spPr>
                </pic:pic>
              </a:graphicData>
            </a:graphic>
          </wp:inline>
        </w:drawing>
      </w:r>
    </w:p>
    <w:p w14:paraId="21B52C52">
      <w:pPr>
        <w:rPr>
          <w:rFonts w:hint="eastAsia"/>
        </w:rPr>
      </w:pPr>
    </w:p>
    <w:p w14:paraId="74281C9F">
      <w:pPr>
        <w:jc w:val="center"/>
        <w:rPr>
          <w:rFonts w:hint="eastAsia"/>
        </w:rPr>
      </w:pPr>
      <w:r>
        <w:rPr>
          <w:rFonts w:hint="eastAsia"/>
          <w:lang w:val="en-US" w:eastAsia="zh-CN"/>
        </w:rPr>
        <w:t>图2</w:t>
      </w:r>
      <w:r>
        <w:rPr>
          <w:rFonts w:hint="eastAsia"/>
        </w:rPr>
        <w:t>拼宽路基土工格栅铺设断面示意图</w:t>
      </w:r>
    </w:p>
    <w:p w14:paraId="256E2401">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2.3新旧路基衔接与搭接密实处理</w:t>
      </w:r>
    </w:p>
    <w:p w14:paraId="1088CB41">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新旧路基结合面是整个拼宽结构受力最薄弱的地方，台阶开挖成型后处理的好坏，直接影响到两种土体能否一起承受荷载</w:t>
      </w:r>
      <w:r>
        <w:rPr>
          <w:rFonts w:ascii="宋体" w:eastAsia="宋体" w:hAnsi="宋体" w:cs="宋体" w:hint="eastAsia"/>
          <w:b w:val="0"/>
          <w:bCs w:val="0"/>
          <w:color w:val="auto"/>
          <w:sz w:val="21"/>
          <w:szCs w:val="21"/>
          <w:highlight w:val="yellow"/>
          <w:vertAlign w:val="superscript"/>
          <w:lang w:val="en-US" w:eastAsia="zh-CN"/>
        </w:rPr>
        <w:t>[3]</w:t>
      </w:r>
      <w:r>
        <w:rPr>
          <w:rFonts w:ascii="宋体" w:eastAsia="宋体" w:hAnsi="宋体" w:cs="宋体" w:hint="eastAsia"/>
          <w:b w:val="0"/>
          <w:bCs w:val="0"/>
          <w:sz w:val="21"/>
          <w:szCs w:val="21"/>
        </w:rPr>
        <w:t>。在台阶表面清理出浮土及松散颗粒之前，作业前应洒水湿润台阶面，减小新旧土体间的结合阻力。填筑前先从搭接处开始，从拼宽外侧向内侧摊铺，防止填料在接缝处出现空隙。碾压方向由拼宽外侧向旧路基台阶推进，使填料不断进入接缝处，提高接缝处的咬合程度。常规检测点位以外的搭接区应加密检测点位，在搭接处每50m设置一个压实度检测点，保证对搭接处压实状况有充分的检测。压实指标不达标的区域，在确定后再加振压一次，复测结果仍达不到要求的，则应挖除该层土，重新整平压实。对填高较大的高填方路段，在搭接处设置横向排水盲沟，及时排除界面处积水，避免土体长时间浸泡软化，降低剪切力，减小后期因变形不一致造成的裂缝风险。</w:t>
      </w:r>
    </w:p>
    <w:p w14:paraId="7F75A278">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2.4过渡段处理与差异沉降控制工艺</w:t>
      </w:r>
    </w:p>
    <w:p w14:paraId="6F6F3B83">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桥台、涵洞周边拼宽过渡段处结构刚度变化大，容易造成沉降差，必须单独设置相应工艺加以控制。过渡段填料由级配碎石代替普通填土，碎石材料自身压缩性小、刚度大，分层压实厚度减少到20cm，压实控制标准提高到96%左右，与一般的路基形成平缓的刚度过渡，防止刚度突变造成变形集中。填筑阶段埋设沉降观测桩，每100m设置一个观测断面，位于拼宽路基中线、新旧交界处及路基坡脚处。在填筑阶段每隔3天做一次沉降观测，在填筑工作结束前三个月，观测频率改为每7天一次，保持沉降观测数据的连续性。连续15天沉降速率小于0.3mm/d时，说明沉降趋于稳定，可以进行后续路面结构施工。观测数据可以直观体现变形发展走向，当沉降速率不断上升的时候，填筑速度就应该减慢，必要时应停止填筑，给土体以足够的时间固结，防止失稳造成桥头跳车等病害</w:t>
      </w:r>
      <w:r>
        <w:rPr>
          <w:rFonts w:ascii="宋体" w:eastAsia="宋体" w:hAnsi="宋体" w:cs="宋体" w:hint="eastAsia"/>
          <w:b w:val="0"/>
          <w:bCs w:val="0"/>
          <w:color w:val="auto"/>
          <w:sz w:val="21"/>
          <w:szCs w:val="21"/>
          <w:highlight w:val="yellow"/>
          <w:vertAlign w:val="superscript"/>
          <w:lang w:val="en-US" w:eastAsia="zh-CN"/>
        </w:rPr>
        <w:t>[4]</w:t>
      </w:r>
      <w:r>
        <w:rPr>
          <w:rFonts w:ascii="宋体" w:eastAsia="宋体" w:hAnsi="宋体" w:cs="宋体" w:hint="eastAsia"/>
          <w:b w:val="0"/>
          <w:bCs w:val="0"/>
          <w:sz w:val="21"/>
          <w:szCs w:val="21"/>
        </w:rPr>
        <w:t>。</w:t>
      </w:r>
    </w:p>
    <w:p w14:paraId="0417006B">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3工程实例：某高速公路改扩建路基拼宽案例分析</w:t>
      </w:r>
    </w:p>
    <w:p w14:paraId="50FDD825">
      <w:pPr>
        <w:pStyle w:val="Heading3"/>
        <w:keepNext w:val="0"/>
        <w:keepLines w:val="0"/>
        <w:pageBreakBefore w:val="0"/>
        <w:widowControl/>
        <w:suppressLineNumbers w:val="0"/>
        <w:kinsoku/>
        <w:overflowPunct/>
        <w:topLinePunct w:val="0"/>
        <w:bidi w:val="0"/>
        <w:adjustRightInd/>
        <w:snapToGrid w:val="0"/>
        <w:spacing w:beforeAutospacing="0" w:afterAutospacing="0" w:line="360" w:lineRule="auto"/>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3.1工程概况与路基拼宽方案设计</w:t>
      </w:r>
    </w:p>
    <w:p w14:paraId="2BC9C3B6">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本项目是双向四车道改扩建为双向八车道的高速公路，标段里程为K12+300至K15+700，拼宽方式以单侧加宽为主，局部双侧加宽，路基拼宽宽度7.75m。场地地层上部为粉质黏土，下部为密实砂层，地下水位埋藏深度为3.2m～4.5m。方案用台阶开挖和分层土工格栅加筋，台阶参数按照前面控制，浅层软土段换填30cm碎石垫层。全段设沉降观测断面，观测数据汇总见表2，用以评价拼宽路基沉降控制的效果。</w:t>
      </w:r>
    </w:p>
    <w:p w14:paraId="290FF966">
      <w:pPr>
        <w:pStyle w:val="NormalWeb"/>
        <w:keepNext w:val="0"/>
        <w:keepLines w:val="0"/>
        <w:pageBreakBefore w:val="0"/>
        <w:widowControl/>
        <w:suppressLineNumbers w:val="0"/>
        <w:kinsoku/>
        <w:overflowPunct/>
        <w:topLinePunct w:val="0"/>
        <w:bidi w:val="0"/>
        <w:adjustRightInd/>
        <w:snapToGrid/>
        <w:spacing w:beforeAutospacing="0" w:afterAutospacing="0" w:line="360" w:lineRule="auto"/>
        <w:ind w:firstLine="1050" w:firstLineChars="500"/>
        <w:textAlignment w:val="auto"/>
        <w:rPr>
          <w:rFonts w:ascii="宋体" w:eastAsia="宋体" w:hAnsi="宋体" w:cs="宋体" w:hint="eastAsia"/>
          <w:b w:val="0"/>
          <w:bCs w:val="0"/>
          <w:sz w:val="21"/>
          <w:szCs w:val="21"/>
        </w:rPr>
      </w:pPr>
      <w:bookmarkStart w:id="0" w:name="_GoBack"/>
      <w:bookmarkEnd w:id="0"/>
      <w:r>
        <w:rPr>
          <w:rFonts w:ascii="宋体" w:eastAsia="宋体" w:hAnsi="宋体" w:cs="宋体" w:hint="eastAsia"/>
          <w:b w:val="0"/>
          <w:bCs w:val="0"/>
          <w:sz w:val="21"/>
          <w:szCs w:val="21"/>
        </w:rPr>
        <w:t>表2</w:t>
      </w:r>
      <w:r>
        <w:rPr>
          <w:rFonts w:ascii="宋体" w:eastAsia="宋体" w:hAnsi="宋体" w:cs="宋体" w:hint="eastAsia"/>
          <w:b w:val="0"/>
          <w:bCs w:val="0"/>
          <w:sz w:val="21"/>
          <w:szCs w:val="21"/>
          <w:lang w:val="en-US" w:eastAsia="zh-CN"/>
        </w:rPr>
        <w:t xml:space="preserve">              </w:t>
      </w:r>
      <w:r>
        <w:rPr>
          <w:rFonts w:ascii="宋体" w:eastAsia="宋体" w:hAnsi="宋体" w:cs="宋体" w:hint="eastAsia"/>
          <w:b w:val="0"/>
          <w:bCs w:val="0"/>
          <w:sz w:val="21"/>
          <w:szCs w:val="21"/>
        </w:rPr>
        <w:t>拼宽路基典型断面沉降观测结果</w:t>
      </w:r>
    </w:p>
    <w:tbl>
      <w:tblPr>
        <w:tblStyle w:val="TableNormal"/>
        <w:tblW w:w="4999" w:type="pct"/>
        <w:jc w:val="center"/>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
      <w:tblGrid>
        <w:gridCol w:w="969"/>
        <w:gridCol w:w="1349"/>
        <w:gridCol w:w="2477"/>
        <w:gridCol w:w="2575"/>
        <w:gridCol w:w="1024"/>
      </w:tblGrid>
      <w:tr w14:paraId="05074421">
        <w:tblPrEx>
          <w:tblW w:w="4999" w:type="pct"/>
          <w:jc w:val="center"/>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15" w:type="dxa"/>
            <w:left w:w="15" w:type="dxa"/>
            <w:bottom w:w="15" w:type="dxa"/>
            <w:right w:w="15" w:type="dxa"/>
          </w:tblCellMar>
        </w:tblPrEx>
        <w:trPr>
          <w:trHeight w:hRule="auto" w:val="0"/>
          <w:tblHeader/>
          <w:tblCellSpacing w:w="15" w:type="dxa"/>
          <w:jc w:val="center"/>
        </w:trPr>
        <w:tc>
          <w:tcPr>
            <w:tcW w:w="550" w:type="pct"/>
            <w:tcBorders>
              <w:top w:val="single" w:sz="12" w:space="0" w:color="auto"/>
              <w:left w:val="nil"/>
              <w:bottom w:val="nil"/>
              <w:right w:val="nil"/>
            </w:tcBorders>
            <w:shd w:val="clear" w:color="auto" w:fill="auto"/>
            <w:noWrap w:val="0"/>
            <w:tcMar>
              <w:top w:w="-1" w:type="dxa"/>
              <w:left w:w="-1" w:type="dxa"/>
              <w:bottom w:w="-1" w:type="dxa"/>
              <w:right w:w="-1" w:type="dxa"/>
            </w:tcMar>
            <w:vAlign w:val="center"/>
          </w:tcPr>
          <w:p w14:paraId="39D1211C">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bCs w:val="0"/>
                <w:sz w:val="21"/>
                <w:szCs w:val="21"/>
              </w:rPr>
            </w:pPr>
            <w:r>
              <w:rPr>
                <w:rFonts w:ascii="宋体" w:eastAsia="宋体" w:hAnsi="宋体" w:cs="宋体" w:hint="eastAsia"/>
                <w:b/>
                <w:bCs w:val="0"/>
                <w:kern w:val="0"/>
                <w:sz w:val="21"/>
                <w:szCs w:val="21"/>
                <w:lang w:val="en-US" w:eastAsia="zh-CN" w:bidi="ar"/>
              </w:rPr>
              <w:t>断面里程</w:t>
            </w:r>
          </w:p>
        </w:tc>
        <w:tc>
          <w:tcPr>
            <w:tcW w:w="785" w:type="pct"/>
            <w:tcBorders>
              <w:top w:val="single" w:sz="12" w:space="0" w:color="auto"/>
              <w:left w:val="nil"/>
              <w:bottom w:val="nil"/>
              <w:right w:val="nil"/>
            </w:tcBorders>
            <w:shd w:val="clear" w:color="auto" w:fill="auto"/>
            <w:noWrap w:val="0"/>
            <w:tcMar>
              <w:top w:w="-1" w:type="dxa"/>
              <w:left w:w="-1" w:type="dxa"/>
              <w:bottom w:w="-1" w:type="dxa"/>
              <w:right w:w="-1" w:type="dxa"/>
            </w:tcMar>
            <w:vAlign w:val="center"/>
          </w:tcPr>
          <w:p w14:paraId="10AB3BF7">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bCs w:val="0"/>
                <w:sz w:val="21"/>
                <w:szCs w:val="21"/>
              </w:rPr>
            </w:pPr>
            <w:r>
              <w:rPr>
                <w:rFonts w:ascii="宋体" w:eastAsia="宋体" w:hAnsi="宋体" w:cs="宋体" w:hint="eastAsia"/>
                <w:b/>
                <w:bCs w:val="0"/>
                <w:kern w:val="0"/>
                <w:sz w:val="21"/>
                <w:szCs w:val="21"/>
                <w:lang w:val="en-US" w:eastAsia="zh-CN" w:bidi="ar"/>
              </w:rPr>
              <w:t>测点位置</w:t>
            </w:r>
          </w:p>
        </w:tc>
        <w:tc>
          <w:tcPr>
            <w:tcW w:w="1457" w:type="pct"/>
            <w:tcBorders>
              <w:top w:val="single" w:sz="12" w:space="0" w:color="auto"/>
              <w:left w:val="nil"/>
              <w:bottom w:val="nil"/>
              <w:right w:val="nil"/>
            </w:tcBorders>
            <w:shd w:val="clear" w:color="auto" w:fill="auto"/>
            <w:noWrap w:val="0"/>
            <w:tcMar>
              <w:top w:w="-1" w:type="dxa"/>
              <w:left w:w="-1" w:type="dxa"/>
              <w:bottom w:w="-1" w:type="dxa"/>
              <w:right w:w="-1" w:type="dxa"/>
            </w:tcMar>
            <w:vAlign w:val="center"/>
          </w:tcPr>
          <w:p w14:paraId="495BE1A3">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bCs w:val="0"/>
                <w:sz w:val="21"/>
                <w:szCs w:val="21"/>
              </w:rPr>
            </w:pPr>
            <w:r>
              <w:rPr>
                <w:rFonts w:ascii="宋体" w:eastAsia="宋体" w:hAnsi="宋体" w:cs="宋体" w:hint="eastAsia"/>
                <w:b/>
                <w:bCs w:val="0"/>
                <w:kern w:val="0"/>
                <w:sz w:val="21"/>
                <w:szCs w:val="21"/>
                <w:lang w:val="en-US" w:eastAsia="zh-CN" w:bidi="ar"/>
              </w:rPr>
              <w:t>填筑完成90d累计沉降/mm</w:t>
            </w:r>
          </w:p>
        </w:tc>
        <w:tc>
          <w:tcPr>
            <w:tcW w:w="1515" w:type="pct"/>
            <w:tcBorders>
              <w:top w:val="single" w:sz="12" w:space="0" w:color="auto"/>
              <w:left w:val="nil"/>
              <w:bottom w:val="nil"/>
              <w:right w:val="nil"/>
            </w:tcBorders>
            <w:shd w:val="clear" w:color="auto" w:fill="auto"/>
            <w:noWrap w:val="0"/>
            <w:tcMar>
              <w:top w:w="-1" w:type="dxa"/>
              <w:left w:w="-1" w:type="dxa"/>
              <w:bottom w:w="-1" w:type="dxa"/>
              <w:right w:w="-1" w:type="dxa"/>
            </w:tcMar>
            <w:vAlign w:val="center"/>
          </w:tcPr>
          <w:p w14:paraId="50851492">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bCs w:val="0"/>
                <w:sz w:val="21"/>
                <w:szCs w:val="21"/>
              </w:rPr>
            </w:pPr>
            <w:r>
              <w:rPr>
                <w:rFonts w:ascii="宋体" w:eastAsia="宋体" w:hAnsi="宋体" w:cs="宋体" w:hint="eastAsia"/>
                <w:b/>
                <w:bCs w:val="0"/>
                <w:kern w:val="0"/>
                <w:sz w:val="21"/>
                <w:szCs w:val="21"/>
                <w:lang w:val="en-US" w:eastAsia="zh-CN" w:bidi="ar"/>
              </w:rPr>
              <w:t>填筑完成180d累计沉降/mm</w:t>
            </w:r>
          </w:p>
        </w:tc>
        <w:tc>
          <w:tcPr>
            <w:tcW w:w="583" w:type="pct"/>
            <w:tcBorders>
              <w:top w:val="single" w:sz="12" w:space="0" w:color="auto"/>
              <w:left w:val="nil"/>
              <w:bottom w:val="nil"/>
              <w:right w:val="nil"/>
            </w:tcBorders>
            <w:shd w:val="clear" w:color="auto" w:fill="auto"/>
            <w:noWrap w:val="0"/>
            <w:tcMar>
              <w:top w:w="-1" w:type="dxa"/>
              <w:left w:w="-1" w:type="dxa"/>
              <w:bottom w:w="-1" w:type="dxa"/>
              <w:right w:w="-1" w:type="dxa"/>
            </w:tcMar>
            <w:vAlign w:val="center"/>
          </w:tcPr>
          <w:p w14:paraId="2DDB497F">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bCs w:val="0"/>
                <w:kern w:val="0"/>
                <w:sz w:val="21"/>
                <w:szCs w:val="21"/>
                <w:lang w:val="en-US" w:eastAsia="zh-CN" w:bidi="ar"/>
              </w:rPr>
            </w:pPr>
            <w:r>
              <w:rPr>
                <w:rFonts w:ascii="宋体" w:eastAsia="宋体" w:hAnsi="宋体" w:cs="宋体" w:hint="eastAsia"/>
                <w:b/>
                <w:bCs w:val="0"/>
                <w:kern w:val="0"/>
                <w:sz w:val="21"/>
                <w:szCs w:val="21"/>
                <w:lang w:val="en-US" w:eastAsia="zh-CN" w:bidi="ar"/>
              </w:rPr>
              <w:t>沉降速率/</w:t>
            </w:r>
          </w:p>
          <w:p w14:paraId="4B889B92">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bCs w:val="0"/>
                <w:sz w:val="21"/>
                <w:szCs w:val="21"/>
              </w:rPr>
            </w:pPr>
            <w:r>
              <w:rPr>
                <w:rFonts w:ascii="宋体" w:eastAsia="宋体" w:hAnsi="宋体" w:cs="宋体" w:hint="eastAsia"/>
                <w:b/>
                <w:bCs w:val="0"/>
                <w:kern w:val="0"/>
                <w:sz w:val="21"/>
                <w:szCs w:val="21"/>
                <w:lang w:val="en-US" w:eastAsia="zh-CN" w:bidi="ar"/>
              </w:rPr>
              <w:t>(mm·d⁻¹)</w:t>
            </w:r>
          </w:p>
        </w:tc>
      </w:tr>
      <w:tr w14:paraId="1DC65E2D">
        <w:tblPrEx>
          <w:tblW w:w="4999" w:type="pct"/>
          <w:jc w:val="center"/>
          <w:tblCellSpacing w:w="15" w:type="dxa"/>
          <w:shd w:val="clear" w:color="auto" w:fill="auto"/>
          <w:tblCellMar>
            <w:top w:w="15" w:type="dxa"/>
            <w:left w:w="15" w:type="dxa"/>
            <w:bottom w:w="15" w:type="dxa"/>
            <w:right w:w="15" w:type="dxa"/>
          </w:tblCellMar>
        </w:tblPrEx>
        <w:trPr>
          <w:trHeight w:hRule="auto" w:val="0"/>
          <w:tblCellSpacing w:w="15" w:type="dxa"/>
          <w:jc w:val="center"/>
        </w:trPr>
        <w:tc>
          <w:tcPr>
            <w:tcW w:w="550" w:type="pct"/>
            <w:tcBorders>
              <w:top w:val="single" w:sz="4" w:space="0" w:color="auto"/>
              <w:left w:val="nil"/>
              <w:bottom w:val="nil"/>
              <w:right w:val="nil"/>
            </w:tcBorders>
            <w:shd w:val="clear" w:color="auto" w:fill="auto"/>
            <w:noWrap w:val="0"/>
            <w:tcMar>
              <w:top w:w="-1" w:type="dxa"/>
              <w:left w:w="-1" w:type="dxa"/>
              <w:bottom w:w="-1" w:type="dxa"/>
              <w:right w:w="-1" w:type="dxa"/>
            </w:tcMar>
            <w:vAlign w:val="center"/>
          </w:tcPr>
          <w:p w14:paraId="78978348">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K13+100</w:t>
            </w:r>
          </w:p>
        </w:tc>
        <w:tc>
          <w:tcPr>
            <w:tcW w:w="785" w:type="pct"/>
            <w:tcBorders>
              <w:top w:val="single" w:sz="4" w:space="0" w:color="auto"/>
              <w:left w:val="nil"/>
              <w:bottom w:val="nil"/>
              <w:right w:val="nil"/>
            </w:tcBorders>
            <w:shd w:val="clear" w:color="auto" w:fill="auto"/>
            <w:noWrap w:val="0"/>
            <w:tcMar>
              <w:top w:w="-1" w:type="dxa"/>
              <w:left w:w="-1" w:type="dxa"/>
              <w:bottom w:w="-1" w:type="dxa"/>
              <w:right w:w="-1" w:type="dxa"/>
            </w:tcMar>
            <w:vAlign w:val="center"/>
          </w:tcPr>
          <w:p w14:paraId="55F1734E">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新旧结合面</w:t>
            </w:r>
          </w:p>
        </w:tc>
        <w:tc>
          <w:tcPr>
            <w:tcW w:w="1457" w:type="pct"/>
            <w:tcBorders>
              <w:top w:val="single" w:sz="4" w:space="0" w:color="auto"/>
              <w:left w:val="nil"/>
              <w:bottom w:val="nil"/>
              <w:right w:val="nil"/>
            </w:tcBorders>
            <w:shd w:val="clear" w:color="auto" w:fill="auto"/>
            <w:noWrap w:val="0"/>
            <w:tcMar>
              <w:top w:w="-1" w:type="dxa"/>
              <w:left w:w="-1" w:type="dxa"/>
              <w:bottom w:w="-1" w:type="dxa"/>
              <w:right w:w="-1" w:type="dxa"/>
            </w:tcMar>
            <w:vAlign w:val="center"/>
          </w:tcPr>
          <w:p w14:paraId="4DCFEF6B">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26.4</w:t>
            </w:r>
          </w:p>
        </w:tc>
        <w:tc>
          <w:tcPr>
            <w:tcW w:w="1515" w:type="pct"/>
            <w:tcBorders>
              <w:top w:val="single" w:sz="4" w:space="0" w:color="auto"/>
              <w:left w:val="nil"/>
              <w:bottom w:val="nil"/>
              <w:right w:val="nil"/>
            </w:tcBorders>
            <w:shd w:val="clear" w:color="auto" w:fill="auto"/>
            <w:noWrap w:val="0"/>
            <w:tcMar>
              <w:top w:w="-1" w:type="dxa"/>
              <w:left w:w="-1" w:type="dxa"/>
              <w:bottom w:w="-1" w:type="dxa"/>
              <w:right w:w="-1" w:type="dxa"/>
            </w:tcMar>
            <w:vAlign w:val="center"/>
          </w:tcPr>
          <w:p w14:paraId="4E5A8D59">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31.2</w:t>
            </w:r>
          </w:p>
        </w:tc>
        <w:tc>
          <w:tcPr>
            <w:tcW w:w="583" w:type="pct"/>
            <w:tcBorders>
              <w:top w:val="single" w:sz="4" w:space="0" w:color="auto"/>
              <w:left w:val="nil"/>
              <w:bottom w:val="nil"/>
              <w:right w:val="nil"/>
            </w:tcBorders>
            <w:shd w:val="clear" w:color="auto" w:fill="auto"/>
            <w:noWrap w:val="0"/>
            <w:tcMar>
              <w:top w:w="-1" w:type="dxa"/>
              <w:left w:w="-1" w:type="dxa"/>
              <w:bottom w:w="-1" w:type="dxa"/>
              <w:right w:w="-1" w:type="dxa"/>
            </w:tcMar>
            <w:vAlign w:val="center"/>
          </w:tcPr>
          <w:p w14:paraId="678F1DFD">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0.053</w:t>
            </w:r>
          </w:p>
        </w:tc>
      </w:tr>
      <w:tr w14:paraId="0088E4C8">
        <w:tblPrEx>
          <w:tblW w:w="4999" w:type="pct"/>
          <w:jc w:val="center"/>
          <w:tblCellSpacing w:w="15" w:type="dxa"/>
          <w:shd w:val="clear" w:color="auto" w:fill="auto"/>
          <w:tblCellMar>
            <w:top w:w="15" w:type="dxa"/>
            <w:left w:w="15" w:type="dxa"/>
            <w:bottom w:w="15" w:type="dxa"/>
            <w:right w:w="15" w:type="dxa"/>
          </w:tblCellMar>
        </w:tblPrEx>
        <w:trPr>
          <w:trHeight w:hRule="auto" w:val="0"/>
          <w:tblCellSpacing w:w="15" w:type="dxa"/>
          <w:jc w:val="center"/>
        </w:trPr>
        <w:tc>
          <w:tcPr>
            <w:tcW w:w="550" w:type="pct"/>
            <w:tcBorders>
              <w:top w:val="nil"/>
              <w:left w:val="nil"/>
              <w:bottom w:val="nil"/>
              <w:right w:val="nil"/>
            </w:tcBorders>
            <w:shd w:val="clear" w:color="auto" w:fill="auto"/>
            <w:noWrap w:val="0"/>
            <w:tcMar>
              <w:top w:w="-1" w:type="dxa"/>
              <w:left w:w="-1" w:type="dxa"/>
              <w:bottom w:w="-1" w:type="dxa"/>
              <w:right w:w="-1" w:type="dxa"/>
            </w:tcMar>
            <w:vAlign w:val="center"/>
          </w:tcPr>
          <w:p w14:paraId="4F3C0E10">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K13+100</w:t>
            </w:r>
          </w:p>
        </w:tc>
        <w:tc>
          <w:tcPr>
            <w:tcW w:w="785" w:type="pct"/>
            <w:tcBorders>
              <w:top w:val="nil"/>
              <w:left w:val="nil"/>
              <w:bottom w:val="nil"/>
              <w:right w:val="nil"/>
            </w:tcBorders>
            <w:shd w:val="clear" w:color="auto" w:fill="auto"/>
            <w:noWrap w:val="0"/>
            <w:tcMar>
              <w:top w:w="-1" w:type="dxa"/>
              <w:left w:w="-1" w:type="dxa"/>
              <w:bottom w:w="-1" w:type="dxa"/>
              <w:right w:w="-1" w:type="dxa"/>
            </w:tcMar>
            <w:vAlign w:val="center"/>
          </w:tcPr>
          <w:p w14:paraId="3F773085">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拼宽路基外侧</w:t>
            </w:r>
          </w:p>
        </w:tc>
        <w:tc>
          <w:tcPr>
            <w:tcW w:w="1457" w:type="pct"/>
            <w:tcBorders>
              <w:top w:val="nil"/>
              <w:left w:val="nil"/>
              <w:bottom w:val="nil"/>
              <w:right w:val="nil"/>
            </w:tcBorders>
            <w:shd w:val="clear" w:color="auto" w:fill="auto"/>
            <w:noWrap w:val="0"/>
            <w:tcMar>
              <w:top w:w="-1" w:type="dxa"/>
              <w:left w:w="-1" w:type="dxa"/>
              <w:bottom w:w="-1" w:type="dxa"/>
              <w:right w:w="-1" w:type="dxa"/>
            </w:tcMar>
            <w:vAlign w:val="center"/>
          </w:tcPr>
          <w:p w14:paraId="4A70D1B5">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22.1</w:t>
            </w:r>
          </w:p>
        </w:tc>
        <w:tc>
          <w:tcPr>
            <w:tcW w:w="1515" w:type="pct"/>
            <w:tcBorders>
              <w:top w:val="nil"/>
              <w:left w:val="nil"/>
              <w:bottom w:val="nil"/>
              <w:right w:val="nil"/>
            </w:tcBorders>
            <w:shd w:val="clear" w:color="auto" w:fill="auto"/>
            <w:noWrap w:val="0"/>
            <w:tcMar>
              <w:top w:w="-1" w:type="dxa"/>
              <w:left w:w="-1" w:type="dxa"/>
              <w:bottom w:w="-1" w:type="dxa"/>
              <w:right w:w="-1" w:type="dxa"/>
            </w:tcMar>
            <w:vAlign w:val="center"/>
          </w:tcPr>
          <w:p w14:paraId="0C8FCB90">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25.7</w:t>
            </w:r>
          </w:p>
        </w:tc>
        <w:tc>
          <w:tcPr>
            <w:tcW w:w="583" w:type="pct"/>
            <w:tcBorders>
              <w:top w:val="nil"/>
              <w:left w:val="nil"/>
              <w:bottom w:val="nil"/>
              <w:right w:val="nil"/>
            </w:tcBorders>
            <w:shd w:val="clear" w:color="auto" w:fill="auto"/>
            <w:noWrap w:val="0"/>
            <w:tcMar>
              <w:top w:w="-1" w:type="dxa"/>
              <w:left w:w="-1" w:type="dxa"/>
              <w:bottom w:w="-1" w:type="dxa"/>
              <w:right w:w="-1" w:type="dxa"/>
            </w:tcMar>
            <w:vAlign w:val="center"/>
          </w:tcPr>
          <w:p w14:paraId="4E752A24">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0.040</w:t>
            </w:r>
          </w:p>
        </w:tc>
      </w:tr>
      <w:tr w14:paraId="365BBC4F">
        <w:tblPrEx>
          <w:tblW w:w="4999" w:type="pct"/>
          <w:jc w:val="center"/>
          <w:tblCellSpacing w:w="15" w:type="dxa"/>
          <w:shd w:val="clear" w:color="auto" w:fill="auto"/>
          <w:tblCellMar>
            <w:top w:w="15" w:type="dxa"/>
            <w:left w:w="15" w:type="dxa"/>
            <w:bottom w:w="15" w:type="dxa"/>
            <w:right w:w="15" w:type="dxa"/>
          </w:tblCellMar>
        </w:tblPrEx>
        <w:trPr>
          <w:trHeight w:hRule="auto" w:val="0"/>
          <w:tblCellSpacing w:w="15" w:type="dxa"/>
          <w:jc w:val="center"/>
        </w:trPr>
        <w:tc>
          <w:tcPr>
            <w:tcW w:w="550" w:type="pct"/>
            <w:tcBorders>
              <w:top w:val="nil"/>
              <w:left w:val="nil"/>
              <w:bottom w:val="nil"/>
              <w:right w:val="nil"/>
            </w:tcBorders>
            <w:shd w:val="clear" w:color="auto" w:fill="auto"/>
            <w:noWrap w:val="0"/>
            <w:tcMar>
              <w:top w:w="-1" w:type="dxa"/>
              <w:left w:w="-1" w:type="dxa"/>
              <w:bottom w:w="-1" w:type="dxa"/>
              <w:right w:w="-1" w:type="dxa"/>
            </w:tcMar>
            <w:vAlign w:val="center"/>
          </w:tcPr>
          <w:p w14:paraId="2DEC0B7F">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K14+500</w:t>
            </w:r>
          </w:p>
        </w:tc>
        <w:tc>
          <w:tcPr>
            <w:tcW w:w="785" w:type="pct"/>
            <w:tcBorders>
              <w:top w:val="nil"/>
              <w:left w:val="nil"/>
              <w:bottom w:val="nil"/>
              <w:right w:val="nil"/>
            </w:tcBorders>
            <w:shd w:val="clear" w:color="auto" w:fill="auto"/>
            <w:noWrap w:val="0"/>
            <w:tcMar>
              <w:top w:w="-1" w:type="dxa"/>
              <w:left w:w="-1" w:type="dxa"/>
              <w:bottom w:w="-1" w:type="dxa"/>
              <w:right w:w="-1" w:type="dxa"/>
            </w:tcMar>
            <w:vAlign w:val="center"/>
          </w:tcPr>
          <w:p w14:paraId="1E7146A9">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新旧结合面</w:t>
            </w:r>
          </w:p>
        </w:tc>
        <w:tc>
          <w:tcPr>
            <w:tcW w:w="1457" w:type="pct"/>
            <w:tcBorders>
              <w:top w:val="nil"/>
              <w:left w:val="nil"/>
              <w:bottom w:val="nil"/>
              <w:right w:val="nil"/>
            </w:tcBorders>
            <w:shd w:val="clear" w:color="auto" w:fill="auto"/>
            <w:noWrap w:val="0"/>
            <w:tcMar>
              <w:top w:w="-1" w:type="dxa"/>
              <w:left w:w="-1" w:type="dxa"/>
              <w:bottom w:w="-1" w:type="dxa"/>
              <w:right w:w="-1" w:type="dxa"/>
            </w:tcMar>
            <w:vAlign w:val="center"/>
          </w:tcPr>
          <w:p w14:paraId="6CBF5705">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29.7</w:t>
            </w:r>
          </w:p>
        </w:tc>
        <w:tc>
          <w:tcPr>
            <w:tcW w:w="1515" w:type="pct"/>
            <w:tcBorders>
              <w:top w:val="nil"/>
              <w:left w:val="nil"/>
              <w:bottom w:val="nil"/>
              <w:right w:val="nil"/>
            </w:tcBorders>
            <w:shd w:val="clear" w:color="auto" w:fill="auto"/>
            <w:noWrap w:val="0"/>
            <w:tcMar>
              <w:top w:w="-1" w:type="dxa"/>
              <w:left w:w="-1" w:type="dxa"/>
              <w:bottom w:w="-1" w:type="dxa"/>
              <w:right w:w="-1" w:type="dxa"/>
            </w:tcMar>
            <w:vAlign w:val="center"/>
          </w:tcPr>
          <w:p w14:paraId="04BC20F3">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34.5</w:t>
            </w:r>
          </w:p>
        </w:tc>
        <w:tc>
          <w:tcPr>
            <w:tcW w:w="583" w:type="pct"/>
            <w:tcBorders>
              <w:top w:val="nil"/>
              <w:left w:val="nil"/>
              <w:bottom w:val="nil"/>
              <w:right w:val="nil"/>
            </w:tcBorders>
            <w:shd w:val="clear" w:color="auto" w:fill="auto"/>
            <w:noWrap w:val="0"/>
            <w:tcMar>
              <w:top w:w="-1" w:type="dxa"/>
              <w:left w:w="-1" w:type="dxa"/>
              <w:bottom w:w="-1" w:type="dxa"/>
              <w:right w:w="-1" w:type="dxa"/>
            </w:tcMar>
            <w:vAlign w:val="center"/>
          </w:tcPr>
          <w:p w14:paraId="079B6E1E">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0.057</w:t>
            </w:r>
          </w:p>
        </w:tc>
      </w:tr>
      <w:tr w14:paraId="5C12EC52">
        <w:tblPrEx>
          <w:tblW w:w="4999" w:type="pct"/>
          <w:jc w:val="center"/>
          <w:tblCellSpacing w:w="15" w:type="dxa"/>
          <w:shd w:val="clear" w:color="auto" w:fill="auto"/>
          <w:tblCellMar>
            <w:top w:w="15" w:type="dxa"/>
            <w:left w:w="15" w:type="dxa"/>
            <w:bottom w:w="15" w:type="dxa"/>
            <w:right w:w="15" w:type="dxa"/>
          </w:tblCellMar>
        </w:tblPrEx>
        <w:trPr>
          <w:trHeight w:hRule="auto" w:val="0"/>
          <w:tblCellSpacing w:w="15" w:type="dxa"/>
          <w:jc w:val="center"/>
        </w:trPr>
        <w:tc>
          <w:tcPr>
            <w:tcW w:w="550" w:type="pct"/>
            <w:tcBorders>
              <w:top w:val="nil"/>
              <w:left w:val="nil"/>
              <w:bottom w:val="single" w:sz="12" w:space="0" w:color="auto"/>
              <w:right w:val="nil"/>
            </w:tcBorders>
            <w:shd w:val="clear" w:color="auto" w:fill="auto"/>
            <w:noWrap w:val="0"/>
            <w:tcMar>
              <w:top w:w="-1" w:type="dxa"/>
              <w:left w:w="-1" w:type="dxa"/>
              <w:bottom w:w="-1" w:type="dxa"/>
              <w:right w:w="-1" w:type="dxa"/>
            </w:tcMar>
            <w:vAlign w:val="center"/>
          </w:tcPr>
          <w:p w14:paraId="734861EC">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K14+500</w:t>
            </w:r>
          </w:p>
        </w:tc>
        <w:tc>
          <w:tcPr>
            <w:tcW w:w="785" w:type="pct"/>
            <w:tcBorders>
              <w:top w:val="nil"/>
              <w:left w:val="nil"/>
              <w:bottom w:val="single" w:sz="12" w:space="0" w:color="auto"/>
              <w:right w:val="nil"/>
            </w:tcBorders>
            <w:shd w:val="clear" w:color="auto" w:fill="auto"/>
            <w:noWrap w:val="0"/>
            <w:tcMar>
              <w:top w:w="-1" w:type="dxa"/>
              <w:left w:w="-1" w:type="dxa"/>
              <w:bottom w:w="-1" w:type="dxa"/>
              <w:right w:w="-1" w:type="dxa"/>
            </w:tcMar>
            <w:vAlign w:val="center"/>
          </w:tcPr>
          <w:p w14:paraId="581E0884">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拼宽路基外侧</w:t>
            </w:r>
          </w:p>
        </w:tc>
        <w:tc>
          <w:tcPr>
            <w:tcW w:w="1457" w:type="pct"/>
            <w:tcBorders>
              <w:top w:val="nil"/>
              <w:left w:val="nil"/>
              <w:bottom w:val="single" w:sz="12" w:space="0" w:color="auto"/>
              <w:right w:val="nil"/>
            </w:tcBorders>
            <w:shd w:val="clear" w:color="auto" w:fill="auto"/>
            <w:noWrap w:val="0"/>
            <w:tcMar>
              <w:top w:w="-1" w:type="dxa"/>
              <w:left w:w="-1" w:type="dxa"/>
              <w:bottom w:w="-1" w:type="dxa"/>
              <w:right w:w="-1" w:type="dxa"/>
            </w:tcMar>
            <w:vAlign w:val="center"/>
          </w:tcPr>
          <w:p w14:paraId="54FB49E7">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24.3</w:t>
            </w:r>
          </w:p>
        </w:tc>
        <w:tc>
          <w:tcPr>
            <w:tcW w:w="1515" w:type="pct"/>
            <w:tcBorders>
              <w:top w:val="nil"/>
              <w:left w:val="nil"/>
              <w:bottom w:val="single" w:sz="12" w:space="0" w:color="auto"/>
              <w:right w:val="nil"/>
            </w:tcBorders>
            <w:shd w:val="clear" w:color="auto" w:fill="auto"/>
            <w:noWrap w:val="0"/>
            <w:tcMar>
              <w:top w:w="-1" w:type="dxa"/>
              <w:left w:w="-1" w:type="dxa"/>
              <w:bottom w:w="-1" w:type="dxa"/>
              <w:right w:w="-1" w:type="dxa"/>
            </w:tcMar>
            <w:vAlign w:val="center"/>
          </w:tcPr>
          <w:p w14:paraId="380AF6C7">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27.9</w:t>
            </w:r>
          </w:p>
        </w:tc>
        <w:tc>
          <w:tcPr>
            <w:tcW w:w="583" w:type="pct"/>
            <w:tcBorders>
              <w:top w:val="nil"/>
              <w:left w:val="nil"/>
              <w:bottom w:val="single" w:sz="12" w:space="0" w:color="auto"/>
              <w:right w:val="nil"/>
            </w:tcBorders>
            <w:shd w:val="clear" w:color="auto" w:fill="auto"/>
            <w:noWrap w:val="0"/>
            <w:tcMar>
              <w:top w:w="-1" w:type="dxa"/>
              <w:left w:w="-1" w:type="dxa"/>
              <w:bottom w:w="-1" w:type="dxa"/>
              <w:right w:w="-1" w:type="dxa"/>
            </w:tcMar>
            <w:vAlign w:val="center"/>
          </w:tcPr>
          <w:p w14:paraId="1ED7B9C8">
            <w:pPr>
              <w:keepNext w:val="0"/>
              <w:keepLines w:val="0"/>
              <w:pageBreakBefore w:val="0"/>
              <w:widowControl/>
              <w:suppressLineNumbers w:val="0"/>
              <w:kinsoku/>
              <w:overflowPunct/>
              <w:topLinePunct w:val="0"/>
              <w:bidi w:val="0"/>
              <w:adjustRightInd/>
              <w:snapToGrid w:val="0"/>
              <w:spacing w:beforeAutospacing="0" w:afterAutospacing="0" w:line="240" w:lineRule="auto"/>
              <w:ind w:left="0" w:right="0" w:firstLine="0" w:leftChars="0" w:rightChars="0" w:firstLineChars="0"/>
              <w:jc w:val="center"/>
              <w:textAlignment w:val="auto"/>
              <w:rPr>
                <w:rFonts w:ascii="宋体" w:eastAsia="宋体" w:hAnsi="宋体" w:cs="宋体" w:hint="eastAsia"/>
                <w:b w:val="0"/>
                <w:bCs w:val="0"/>
                <w:sz w:val="21"/>
                <w:szCs w:val="21"/>
              </w:rPr>
            </w:pPr>
            <w:r>
              <w:rPr>
                <w:rFonts w:ascii="宋体" w:eastAsia="宋体" w:hAnsi="宋体" w:cs="宋体" w:hint="eastAsia"/>
                <w:b w:val="0"/>
                <w:bCs w:val="0"/>
                <w:kern w:val="0"/>
                <w:sz w:val="21"/>
                <w:szCs w:val="21"/>
                <w:lang w:val="en-US" w:eastAsia="zh-CN" w:bidi="ar"/>
              </w:rPr>
              <w:t>0.044</w:t>
            </w:r>
          </w:p>
        </w:tc>
      </w:tr>
    </w:tbl>
    <w:p w14:paraId="28BDAA39">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3.2拼宽施工关键工序实施要点</w:t>
      </w:r>
    </w:p>
    <w:p w14:paraId="2B5F76B9">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现场施工严格按照试验段确定的工艺参数进行施工，做好工序间的衔接工作，防止出现由于作业误差而造成的质量事故。台阶开挖用挖掘机粗挖加人工修边，控制台阶坡度及宽度，成型后及时清理坡面浮土，当天验收完毕后即开始填筑，防止台阶长时间裸露在雨水中浸泡软化。土工格栅进场之后先做外观检查，断丝、变形的材料直接剔除，铺设时专人控制张拉状态以及锚固间距，搭接处错开新旧结合缝。台阶边缘处的碾压盲区，有计划地小夯机跟随补强，每一层填筑完成后留有对应的压实检测报告。遇到下雨天立刻停止施工，已经摊铺的土体用防雨布覆盖，雨后复工前复核表层含水率，超过允许范围的翻拌晾晒。沉降观测点位做好保护，机械行走路线避开观测装置，保证沉降板稳定，观测数据连续有效</w:t>
      </w:r>
      <w:r>
        <w:rPr>
          <w:rFonts w:ascii="宋体" w:eastAsia="宋体" w:hAnsi="宋体" w:cs="宋体" w:hint="eastAsia"/>
          <w:b w:val="0"/>
          <w:bCs w:val="0"/>
          <w:color w:val="auto"/>
          <w:sz w:val="21"/>
          <w:szCs w:val="21"/>
          <w:highlight w:val="yellow"/>
          <w:vertAlign w:val="superscript"/>
          <w:lang w:val="en-US" w:eastAsia="zh-CN"/>
        </w:rPr>
        <w:t>[5]</w:t>
      </w:r>
      <w:r>
        <w:rPr>
          <w:rFonts w:ascii="宋体" w:eastAsia="宋体" w:hAnsi="宋体" w:cs="宋体" w:hint="eastAsia"/>
          <w:b w:val="0"/>
          <w:bCs w:val="0"/>
          <w:sz w:val="21"/>
          <w:szCs w:val="21"/>
        </w:rPr>
        <w:t>。</w:t>
      </w:r>
    </w:p>
    <w:p w14:paraId="6AA31753">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3.3施工过程质量控制与检测结果</w:t>
      </w:r>
    </w:p>
    <w:p w14:paraId="3EC5F5F9">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施工全过程按照分层自检加抽检的方法，对填料性能、压实度、加筋材料及沉降情况实施全程的监管。填料按批次抽取做土工试验，对颗粒组成及击实指标进行核对，不合格土料全部清退出场。本段施工压实度检测共做了426个点，路床压实度合格率为97.8%，下路床压实度合格率为98.3%，少量指标不合格的点位全部翻挖重新碾压，复测合格后再进行下一道工序。土工格栅分三批进场检测，抗拉强度、延伸率指标都达到设计标准。沉降观测数据表明，新旧结合面沉降量大于拼宽外侧的，是拼宽路基正常的变形特性，填筑180d后各个测点的沉降速率均小于0.06mm/d，变形逐渐趋向稳定，新旧路基的最大差异沉降为8.8mm，满足控制标准，搭接处没有贯通的裂缝。</w:t>
      </w:r>
    </w:p>
    <w:p w14:paraId="0D93FEFC">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3.4工程成效分析及经验总结</w:t>
      </w:r>
    </w:p>
    <w:p w14:paraId="41CE5507">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根据本项目实施的结果可以知道，台阶咬合尺寸、填料含水率的控制以及加筋铺设质量是影响拼宽路基差异沉降的主要因素。前期设立试验段可以提前确定适应场地土质的碾压参数，防止大面积施工采用经验作业。沉降观测得到的变形数据能够及时反馈路基固结状况，当沉降速率出现异常时，立即降低填筑速度，减小边坡失稳的可能性。此工艺方案更适用于本标段粉质黏土场地，如果遇到厚软土或者高填方路段，台阶加筋处理方式存在不足，必须采用加固措施。现场管理中对于新旧搭接区、台阶边缘等隐蔽薄弱部位应实行工序旁站，对操作人员提出具体要求。后续的同类拼宽工程可以依照地质情况先预估沉降预期值，改良加筋层位和台阶尺寸，进而削减后期病害出现的可能。</w:t>
      </w:r>
    </w:p>
    <w:p w14:paraId="6C950E69">
      <w:pPr>
        <w:pStyle w:val="Heading2"/>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结束语</w:t>
      </w:r>
    </w:p>
    <w:p w14:paraId="474BC1DE">
      <w:pPr>
        <w:pStyle w:val="NormalWeb"/>
        <w:keepNext w:val="0"/>
        <w:keepLines w:val="0"/>
        <w:pageBreakBefore w:val="0"/>
        <w:widowControl/>
        <w:suppressLineNumbers w:val="0"/>
        <w:kinsoku/>
        <w:overflowPunct/>
        <w:topLinePunct w:val="0"/>
        <w:bidi w:val="0"/>
        <w:adjustRightInd/>
        <w:snapToGrid w:val="0"/>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sz w:val="21"/>
          <w:szCs w:val="21"/>
        </w:rPr>
        <w:t>路基拼宽最困难的问题是协调新旧路基固结变形的差异，台阶搭接、分层加筋、填料碾压是控制差异沉降及纵向裂缝的三种主要手段。以本高速改扩建试验段为依托，通过填料击实、碾压工艺参数的确定来保证填料的压实效果，用压实检测及沉降观测数据对处理效果进行检验，拼宽段沉降收敛好无大的纵向病害。文中工艺参数、观测结果只适用于该粉质黏土场地。在软土、岩溶复杂路段进行拼宽施工的时候，还需要结合专项验算对地基加固、加筋进行改善。</w:t>
      </w:r>
    </w:p>
    <w:p w14:paraId="66A48E9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参考文献：</w:t>
      </w:r>
    </w:p>
    <w:p w14:paraId="3007D31E">
      <w:pPr>
        <w:keepNext w:val="0"/>
        <w:keepLines w:val="0"/>
        <w:pageBreakBefore w:val="0"/>
        <w:widowControl w:val="0"/>
        <w:numPr>
          <w:ilvl w:val="0"/>
          <w:numId w:val="0"/>
        </w:numPr>
        <w:kinsoku/>
        <w:wordWrap w:val="0"/>
        <w:overflowPunct/>
        <w:topLinePunct w:val="0"/>
        <w:autoSpaceDE w:val="0"/>
        <w:autoSpaceDN w:val="0"/>
        <w:bidi w:val="0"/>
        <w:adjustRightInd/>
        <w:snapToGrid/>
        <w:spacing w:beforeAutospacing="0" w:afterAutospacing="0" w:line="360" w:lineRule="auto"/>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[1]庞小宝.高速公路改扩建路基拼宽施工技术研究[J].工程建设与设计,2026,(17):76-78.</w:t>
      </w:r>
    </w:p>
    <w:p w14:paraId="4A3F5DD9">
      <w:pPr>
        <w:keepNext w:val="0"/>
        <w:keepLines w:val="0"/>
        <w:pageBreakBefore w:val="0"/>
        <w:widowControl w:val="0"/>
        <w:numPr>
          <w:ilvl w:val="0"/>
          <w:numId w:val="0"/>
        </w:numPr>
        <w:kinsoku/>
        <w:wordWrap w:val="0"/>
        <w:overflowPunct/>
        <w:topLinePunct w:val="0"/>
        <w:autoSpaceDE w:val="0"/>
        <w:autoSpaceDN w:val="0"/>
        <w:bidi w:val="0"/>
        <w:adjustRightInd/>
        <w:snapToGrid/>
        <w:spacing w:beforeAutospacing="0" w:afterAutospacing="0" w:line="360" w:lineRule="auto"/>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[2]朱江洋.高速公路路基改扩建拼接施工关键技术分析[J].工程建设与设计,2026,(14):115-117.</w:t>
      </w:r>
    </w:p>
    <w:p w14:paraId="51EBABD4">
      <w:pPr>
        <w:keepNext w:val="0"/>
        <w:keepLines w:val="0"/>
        <w:pageBreakBefore w:val="0"/>
        <w:widowControl w:val="0"/>
        <w:numPr>
          <w:ilvl w:val="0"/>
          <w:numId w:val="0"/>
        </w:numPr>
        <w:kinsoku/>
        <w:wordWrap w:val="0"/>
        <w:overflowPunct/>
        <w:topLinePunct w:val="0"/>
        <w:autoSpaceDE w:val="0"/>
        <w:autoSpaceDN w:val="0"/>
        <w:bidi w:val="0"/>
        <w:adjustRightInd/>
        <w:snapToGrid/>
        <w:spacing w:beforeAutospacing="0" w:afterAutospacing="0" w:line="360" w:lineRule="auto"/>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[3]李光颖.高速公路改扩建路基拼接施工技术分析[J].交通科技与管理,2026,7(9):56-58.</w:t>
      </w:r>
    </w:p>
    <w:p w14:paraId="79B7BF5A">
      <w:pPr>
        <w:keepNext w:val="0"/>
        <w:keepLines w:val="0"/>
        <w:pageBreakBefore w:val="0"/>
        <w:widowControl w:val="0"/>
        <w:numPr>
          <w:ilvl w:val="0"/>
          <w:numId w:val="0"/>
        </w:numPr>
        <w:kinsoku/>
        <w:wordWrap w:val="0"/>
        <w:overflowPunct/>
        <w:topLinePunct w:val="0"/>
        <w:autoSpaceDE w:val="0"/>
        <w:autoSpaceDN w:val="0"/>
        <w:bidi w:val="0"/>
        <w:adjustRightInd/>
        <w:snapToGrid/>
        <w:spacing w:beforeAutospacing="0" w:afterAutospacing="0" w:line="360" w:lineRule="auto"/>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[4]刘瑶.高速公路改扩建工程T梁拼宽设计与施工关键技术分析[J].青海交通科技,2026,38(1):58-63.</w:t>
      </w:r>
    </w:p>
    <w:p w14:paraId="7D90C597">
      <w:pPr>
        <w:keepNext w:val="0"/>
        <w:keepLines w:val="0"/>
        <w:pageBreakBefore w:val="0"/>
        <w:widowControl w:val="0"/>
        <w:numPr>
          <w:ilvl w:val="0"/>
          <w:numId w:val="0"/>
        </w:numPr>
        <w:kinsoku/>
        <w:wordWrap w:val="0"/>
        <w:overflowPunct/>
        <w:topLinePunct w:val="0"/>
        <w:autoSpaceDE w:val="0"/>
        <w:autoSpaceDN w:val="0"/>
        <w:bidi w:val="0"/>
        <w:adjustRightInd/>
        <w:snapToGrid/>
        <w:spacing w:beforeAutospacing="0" w:afterAutospacing="0" w:line="360" w:lineRule="auto"/>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[5]高伟政.高速公路改扩建路基拼接施工关键技术分析[J].运输经理世界,2026,(7):22-24.</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Arial Unicode MS">
    <w:panose1 w:val="020B0604020202020204"/>
    <w:charset w:val="86"/>
    <w:family w:val="auto"/>
    <w:pitch w:val="default"/>
    <w:sig w:usb0="FFFFFFFF" w:usb1="E9FFFFFF" w:usb2="0000003F" w:usb3="00000000" w:csb0="603F01FF" w:csb1="FFFF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7FCCD4"/>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756A21"/>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8DD65B8"/>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6FFE5F9"/>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DFF3E1"/>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6</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2025-01-03T18:06:00Z</dcterms:created>
  <dcterms:modified xsi:type="dcterms:W3CDTF">2026-11-04T22:05:58Z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2052-12.1.29182.29182</vt:lpwstr>
  </property>
  <property fmtid="{D5CDD505-2E9C-101B-9397-08002B2CF9AE}" pid="4" name="KSOTemplateDocerSaveRecord">
    <vt:lpwstr>eyJoZGlkIjoiOGMzODE2MDc2M2VkNDRjOGZmMTM5MmZmNTMwNzVlYjQiLCJ1c2VySWQiOiIxMjU5NTQwMzM2In0=</vt:lpwstr>
  </property>
</Properties>
</file>