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41FF5FF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4565538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eastAsia"/>
          <w:color w:val="auto"/>
          <w:sz w:val="21"/>
          <w:szCs w:val="21"/>
          <w:lang w:val="en-US" w:eastAsia="zh-CN"/>
        </w:rPr>
      </w:pPr>
      <w:r>
        <w:rPr>
          <w:rFonts w:ascii="宋体" w:eastAsia="宋体" w:hAnsi="宋体" w:cs="宋体" w:hint="eastAsia"/>
          <w:color w:val="auto"/>
          <w:sz w:val="21"/>
          <w:szCs w:val="21"/>
          <w:lang w:val="en-US" w:eastAsia="zh-CN"/>
        </w:rPr>
        <w:t>房建施工中装配式混凝土结构关键节点连接技术研究</w:t>
      </w:r>
    </w:p>
    <w:p w14:paraId="5960061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1"/>
        <w:rPr>
          <w:rFonts w:ascii="宋体" w:eastAsia="宋体" w:hAnsi="宋体" w:cs="宋体" w:hint="eastAsia"/>
          <w:b w:val="0"/>
          <w:bCs/>
          <w:kern w:val="0"/>
          <w:sz w:val="21"/>
          <w:szCs w:val="21"/>
        </w:rPr>
      </w:pPr>
      <w:bookmarkStart w:id="0" w:name="heading_0"/>
    </w:p>
    <w:bookmarkEnd w:id="0"/>
    <w:p w14:paraId="0E74D00A">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ascii="宋体" w:eastAsia="宋体" w:hAnsi="宋体" w:cs="宋体" w:hint="eastAsia"/>
          <w:b w:val="0"/>
          <w:bCs/>
          <w:kern w:val="0"/>
          <w:sz w:val="21"/>
          <w:szCs w:val="21"/>
        </w:rPr>
      </w:pPr>
      <w:bookmarkStart w:id="1" w:name="heading_3"/>
      <w:r>
        <w:rPr>
          <w:rFonts w:ascii="宋体" w:eastAsia="宋体" w:hAnsi="宋体" w:cs="宋体" w:hint="eastAsia"/>
          <w:b w:val="0"/>
          <w:bCs/>
          <w:kern w:val="0"/>
          <w:sz w:val="21"/>
          <w:szCs w:val="21"/>
        </w:rPr>
        <w:t>1房建施工中装配式节点连接的技术背景与现场问题</w:t>
      </w:r>
      <w:bookmarkEnd w:id="1"/>
    </w:p>
    <w:p w14:paraId="5B42B300">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2"/>
        <w:rPr>
          <w:rFonts w:ascii="宋体" w:eastAsia="宋体" w:hAnsi="宋体" w:cs="宋体" w:hint="eastAsia"/>
          <w:b w:val="0"/>
          <w:bCs/>
          <w:kern w:val="0"/>
          <w:sz w:val="21"/>
          <w:szCs w:val="21"/>
        </w:rPr>
      </w:pPr>
      <w:bookmarkStart w:id="2" w:name="heading_4"/>
      <w:r>
        <w:rPr>
          <w:rFonts w:ascii="宋体" w:eastAsia="宋体" w:hAnsi="宋体" w:cs="宋体" w:hint="eastAsia"/>
          <w:b w:val="0"/>
          <w:bCs/>
          <w:kern w:val="0"/>
          <w:sz w:val="21"/>
          <w:szCs w:val="21"/>
        </w:rPr>
        <w:t>1.1装配式节点连接的主要形式与分类</w:t>
      </w:r>
      <w:bookmarkEnd w:id="2"/>
    </w:p>
    <w:p w14:paraId="6920E5A7">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装配式混凝土结构节点连接按受力传递的方式可分为湿式连接和干式连接两类，房建项目竖向承重构件多采用湿式套筒灌浆连接，水平构件多采用后浇叠合湿式连接。干式连接一般用在非承重的附属构件上，用螺栓、连接件将构件固定在一起</w:t>
      </w:r>
      <w:r>
        <w:rPr>
          <w:rFonts w:ascii="宋体" w:eastAsia="宋体" w:hAnsi="宋体" w:cs="宋体" w:hint="eastAsia"/>
          <w:color w:val="auto"/>
          <w:sz w:val="21"/>
          <w:szCs w:val="21"/>
          <w:highlight w:val="yellow"/>
          <w:vertAlign w:val="superscript"/>
          <w:lang w:val="en-US" w:eastAsia="zh-CN"/>
        </w:rPr>
        <w:t>[1]</w:t>
      </w:r>
      <w:r>
        <w:rPr>
          <w:rFonts w:ascii="宋体" w:eastAsia="宋体" w:hAnsi="宋体" w:cs="宋体" w:hint="eastAsia"/>
          <w:b w:val="0"/>
          <w:bCs/>
          <w:kern w:val="0"/>
          <w:sz w:val="21"/>
          <w:szCs w:val="21"/>
        </w:rPr>
        <w:t>。</w:t>
      </w:r>
    </w:p>
    <w:p w14:paraId="65B76C62">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湿式连接体系中套筒灌浆连接是预制剪力墙、预制柱纵向钢筋对接的材料，钢筋机械直螺纹连接一般用在大直径梁筋的连接上，叠合梁板节点靠叠合面的粗糙处理和后浇混凝土整体形成，墙板水平、竖向接缝用坐浆、密封构造一起工作。不同的连接方式受力机理、施工周期、检测方法都有很大的差别，在选择时要考虑到构件内力等级、截面尺寸以及现场吊装情况。各种连接方式的传力机理及施工要求差别较大，主要的技术参数对照表如表1所示。</w:t>
      </w:r>
    </w:p>
    <w:p w14:paraId="1FE60780">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表</w:t>
      </w:r>
      <w:r>
        <w:rPr>
          <w:rFonts w:ascii="宋体" w:eastAsia="宋体" w:hAnsi="宋体" w:cs="宋体" w:hint="eastAsia"/>
          <w:b w:val="0"/>
          <w:bCs/>
          <w:kern w:val="0"/>
          <w:sz w:val="21"/>
          <w:szCs w:val="21"/>
          <w:lang w:val="en-US" w:eastAsia="zh-CN"/>
        </w:rPr>
        <w:t xml:space="preserve">1         </w:t>
      </w:r>
      <w:r>
        <w:rPr>
          <w:rFonts w:ascii="宋体" w:eastAsia="宋体" w:hAnsi="宋体" w:cs="宋体" w:hint="eastAsia"/>
          <w:b w:val="0"/>
          <w:bCs/>
          <w:kern w:val="0"/>
          <w:sz w:val="21"/>
          <w:szCs w:val="21"/>
        </w:rPr>
        <w:t>装配式混凝土节点连接形式技术特征对照</w:t>
      </w:r>
    </w:p>
    <w:tbl>
      <w:tblPr>
        <w:tblStyle w:val="TableNormal"/>
        <w:tblW w:w="870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
      <w:tblGrid>
        <w:gridCol w:w="1110"/>
        <w:gridCol w:w="1950"/>
        <w:gridCol w:w="1715"/>
        <w:gridCol w:w="1982"/>
        <w:gridCol w:w="1951"/>
      </w:tblGrid>
      <w:tr w14:paraId="28540A9A">
        <w:tblPrEx>
          <w:tblW w:w="870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Ex>
        <w:trPr>
          <w:trHeight w:hRule="auto" w:val="0"/>
          <w:tblHeader/>
          <w:jc w:val="center"/>
        </w:trPr>
        <w:tc>
          <w:tcPr>
            <w:tcW w:w="0" w:type="auto"/>
            <w:tcBorders>
              <w:top w:val="single" w:sz="12" w:space="0" w:color="CCCCCC"/>
              <w:left w:val="nil"/>
              <w:bottom w:val="nil"/>
              <w:right w:val="nil"/>
            </w:tcBorders>
            <w:shd w:val="clear" w:color="auto" w:fill="auto"/>
            <w:noWrap w:val="0"/>
            <w:tcMar>
              <w:top w:w="120" w:type="dxa"/>
              <w:left w:w="120" w:type="dxa"/>
              <w:bottom w:w="120" w:type="dxa"/>
              <w:right w:w="120" w:type="dxa"/>
            </w:tcMar>
            <w:vAlign w:val="center"/>
          </w:tcPr>
          <w:p w14:paraId="44B57C4C">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bCs/>
                <w:kern w:val="0"/>
                <w:sz w:val="21"/>
                <w:szCs w:val="21"/>
              </w:rPr>
            </w:pPr>
            <w:r>
              <w:rPr>
                <w:rFonts w:ascii="宋体" w:eastAsia="宋体" w:hAnsi="宋体" w:cs="宋体" w:hint="eastAsia"/>
                <w:b/>
                <w:bCs/>
                <w:kern w:val="0"/>
                <w:sz w:val="21"/>
                <w:szCs w:val="21"/>
                <w:lang w:val="en-US" w:eastAsia="zh-CN"/>
              </w:rPr>
              <w:t>连接形式</w:t>
            </w:r>
          </w:p>
        </w:tc>
        <w:tc>
          <w:tcPr>
            <w:tcW w:w="1950" w:type="dxa"/>
            <w:tcBorders>
              <w:top w:val="single" w:sz="12" w:space="0" w:color="CCCCCC"/>
              <w:left w:val="nil"/>
              <w:bottom w:val="nil"/>
              <w:right w:val="nil"/>
            </w:tcBorders>
            <w:shd w:val="clear" w:color="auto" w:fill="auto"/>
            <w:noWrap w:val="0"/>
            <w:tcMar>
              <w:top w:w="120" w:type="dxa"/>
              <w:left w:w="120" w:type="dxa"/>
              <w:bottom w:w="120" w:type="dxa"/>
              <w:right w:w="120" w:type="dxa"/>
            </w:tcMar>
            <w:vAlign w:val="center"/>
          </w:tcPr>
          <w:p w14:paraId="76F488AB">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bCs/>
                <w:kern w:val="0"/>
                <w:sz w:val="21"/>
                <w:szCs w:val="21"/>
              </w:rPr>
            </w:pPr>
            <w:r>
              <w:rPr>
                <w:rFonts w:ascii="宋体" w:eastAsia="宋体" w:hAnsi="宋体" w:cs="宋体" w:hint="eastAsia"/>
                <w:b/>
                <w:bCs/>
                <w:kern w:val="0"/>
                <w:sz w:val="21"/>
                <w:szCs w:val="21"/>
                <w:lang w:val="en-US" w:eastAsia="zh-CN"/>
              </w:rPr>
              <w:t>传力机理</w:t>
            </w:r>
          </w:p>
        </w:tc>
        <w:tc>
          <w:tcPr>
            <w:tcW w:w="0" w:type="auto"/>
            <w:tcBorders>
              <w:top w:val="single" w:sz="12" w:space="0" w:color="CCCCCC"/>
              <w:left w:val="nil"/>
              <w:bottom w:val="nil"/>
              <w:right w:val="nil"/>
            </w:tcBorders>
            <w:shd w:val="clear" w:color="auto" w:fill="auto"/>
            <w:noWrap w:val="0"/>
            <w:tcMar>
              <w:top w:w="120" w:type="dxa"/>
              <w:left w:w="120" w:type="dxa"/>
              <w:bottom w:w="120" w:type="dxa"/>
              <w:right w:w="120" w:type="dxa"/>
            </w:tcMar>
            <w:vAlign w:val="center"/>
          </w:tcPr>
          <w:p w14:paraId="29EBE71A">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bCs/>
                <w:kern w:val="0"/>
                <w:sz w:val="21"/>
                <w:szCs w:val="21"/>
              </w:rPr>
            </w:pPr>
            <w:r>
              <w:rPr>
                <w:rFonts w:ascii="宋体" w:eastAsia="宋体" w:hAnsi="宋体" w:cs="宋体" w:hint="eastAsia"/>
                <w:b/>
                <w:bCs/>
                <w:kern w:val="0"/>
                <w:sz w:val="21"/>
                <w:szCs w:val="21"/>
                <w:lang w:val="en-US" w:eastAsia="zh-CN"/>
              </w:rPr>
              <w:t>主要适用部位</w:t>
            </w:r>
          </w:p>
        </w:tc>
        <w:tc>
          <w:tcPr>
            <w:tcW w:w="0" w:type="auto"/>
            <w:tcBorders>
              <w:top w:val="single" w:sz="12" w:space="0" w:color="CCCCCC"/>
              <w:left w:val="nil"/>
              <w:bottom w:val="nil"/>
              <w:right w:val="nil"/>
            </w:tcBorders>
            <w:shd w:val="clear" w:color="auto" w:fill="auto"/>
            <w:noWrap w:val="0"/>
            <w:tcMar>
              <w:top w:w="120" w:type="dxa"/>
              <w:left w:w="120" w:type="dxa"/>
              <w:bottom w:w="120" w:type="dxa"/>
              <w:right w:w="120" w:type="dxa"/>
            </w:tcMar>
            <w:vAlign w:val="center"/>
          </w:tcPr>
          <w:p w14:paraId="7742F251">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bCs/>
                <w:kern w:val="0"/>
                <w:sz w:val="21"/>
                <w:szCs w:val="21"/>
              </w:rPr>
            </w:pPr>
            <w:r>
              <w:rPr>
                <w:rFonts w:ascii="宋体" w:eastAsia="宋体" w:hAnsi="宋体" w:cs="宋体" w:hint="eastAsia"/>
                <w:b/>
                <w:bCs/>
                <w:kern w:val="0"/>
                <w:sz w:val="21"/>
                <w:szCs w:val="21"/>
                <w:lang w:val="en-US" w:eastAsia="zh-CN"/>
              </w:rPr>
              <w:t>关键施工控制点</w:t>
            </w:r>
          </w:p>
        </w:tc>
        <w:tc>
          <w:tcPr>
            <w:tcW w:w="1951" w:type="dxa"/>
            <w:tcBorders>
              <w:top w:val="single" w:sz="12" w:space="0" w:color="CCCCCC"/>
              <w:left w:val="nil"/>
              <w:bottom w:val="nil"/>
              <w:right w:val="nil"/>
            </w:tcBorders>
            <w:shd w:val="clear" w:color="auto" w:fill="auto"/>
            <w:noWrap w:val="0"/>
            <w:tcMar>
              <w:top w:w="120" w:type="dxa"/>
              <w:left w:w="120" w:type="dxa"/>
              <w:bottom w:w="120" w:type="dxa"/>
              <w:right w:w="120" w:type="dxa"/>
            </w:tcMar>
            <w:vAlign w:val="center"/>
          </w:tcPr>
          <w:p w14:paraId="583EB340">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bCs/>
                <w:kern w:val="0"/>
                <w:sz w:val="21"/>
                <w:szCs w:val="21"/>
              </w:rPr>
            </w:pPr>
            <w:r>
              <w:rPr>
                <w:rFonts w:ascii="宋体" w:eastAsia="宋体" w:hAnsi="宋体" w:cs="宋体" w:hint="eastAsia"/>
                <w:b/>
                <w:bCs/>
                <w:kern w:val="0"/>
                <w:sz w:val="21"/>
                <w:szCs w:val="21"/>
                <w:lang w:val="en-US" w:eastAsia="zh-CN"/>
              </w:rPr>
              <w:t>常用质量检验方式</w:t>
            </w:r>
          </w:p>
        </w:tc>
      </w:tr>
      <w:tr w14:paraId="7004EE61">
        <w:tblPrEx>
          <w:tblW w:w="8708" w:type="dxa"/>
          <w:jc w:val="center"/>
          <w:shd w:val="clear" w:color="auto" w:fill="auto"/>
          <w:tblCellMar>
            <w:top w:w="15" w:type="dxa"/>
            <w:left w:w="15" w:type="dxa"/>
            <w:bottom w:w="15" w:type="dxa"/>
            <w:right w:w="15" w:type="dxa"/>
          </w:tblCellMar>
        </w:tblPrEx>
        <w:trPr>
          <w:trHeight w:hRule="auto" w:val="0"/>
          <w:jc w:val="center"/>
        </w:trPr>
        <w:tc>
          <w:tcPr>
            <w:tcW w:w="0" w:type="auto"/>
            <w:tcBorders>
              <w:top w:val="single" w:sz="4" w:space="0" w:color="CCCCCC"/>
              <w:left w:val="nil"/>
              <w:bottom w:val="nil"/>
              <w:right w:val="nil"/>
            </w:tcBorders>
            <w:shd w:val="clear" w:color="auto" w:fill="auto"/>
            <w:noWrap w:val="0"/>
            <w:tcMar>
              <w:top w:w="120" w:type="dxa"/>
              <w:left w:w="120" w:type="dxa"/>
              <w:bottom w:w="120" w:type="dxa"/>
              <w:right w:w="120" w:type="dxa"/>
            </w:tcMar>
            <w:vAlign w:val="center"/>
          </w:tcPr>
          <w:p w14:paraId="2A85A698">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lang w:val="en-US" w:eastAsia="zh-CN"/>
              </w:rPr>
              <w:t>套筒灌浆连接</w:t>
            </w:r>
          </w:p>
        </w:tc>
        <w:tc>
          <w:tcPr>
            <w:tcW w:w="1950" w:type="dxa"/>
            <w:tcBorders>
              <w:top w:val="single" w:sz="4" w:space="0" w:color="CCCCCC"/>
              <w:left w:val="nil"/>
              <w:bottom w:val="nil"/>
              <w:right w:val="nil"/>
            </w:tcBorders>
            <w:shd w:val="clear" w:color="auto" w:fill="auto"/>
            <w:noWrap w:val="0"/>
            <w:tcMar>
              <w:top w:w="120" w:type="dxa"/>
              <w:left w:w="120" w:type="dxa"/>
              <w:bottom w:w="120" w:type="dxa"/>
              <w:right w:w="120" w:type="dxa"/>
            </w:tcMar>
            <w:vAlign w:val="center"/>
          </w:tcPr>
          <w:p w14:paraId="38F3B609">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lang w:val="en-US" w:eastAsia="zh-CN"/>
              </w:rPr>
              <w:t>灌浆料与钢筋、套筒内壁粘结锚固传力</w:t>
            </w:r>
          </w:p>
        </w:tc>
        <w:tc>
          <w:tcPr>
            <w:tcW w:w="0" w:type="auto"/>
            <w:tcBorders>
              <w:top w:val="single" w:sz="4" w:space="0" w:color="CCCCCC"/>
              <w:left w:val="nil"/>
              <w:bottom w:val="nil"/>
              <w:right w:val="nil"/>
            </w:tcBorders>
            <w:shd w:val="clear" w:color="auto" w:fill="auto"/>
            <w:noWrap w:val="0"/>
            <w:tcMar>
              <w:top w:w="120" w:type="dxa"/>
              <w:left w:w="120" w:type="dxa"/>
              <w:bottom w:w="120" w:type="dxa"/>
              <w:right w:w="120" w:type="dxa"/>
            </w:tcMar>
            <w:vAlign w:val="center"/>
          </w:tcPr>
          <w:p w14:paraId="4CAFC5EA">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lang w:val="en-US" w:eastAsia="zh-CN"/>
              </w:rPr>
              <w:t>预制剪力墙、预制柱纵筋连接</w:t>
            </w:r>
          </w:p>
        </w:tc>
        <w:tc>
          <w:tcPr>
            <w:tcW w:w="0" w:type="auto"/>
            <w:tcBorders>
              <w:top w:val="single" w:sz="4" w:space="0" w:color="CCCCCC"/>
              <w:left w:val="nil"/>
              <w:bottom w:val="nil"/>
              <w:right w:val="nil"/>
            </w:tcBorders>
            <w:shd w:val="clear" w:color="auto" w:fill="auto"/>
            <w:noWrap w:val="0"/>
            <w:tcMar>
              <w:top w:w="120" w:type="dxa"/>
              <w:left w:w="120" w:type="dxa"/>
              <w:bottom w:w="120" w:type="dxa"/>
              <w:right w:w="120" w:type="dxa"/>
            </w:tcMar>
            <w:vAlign w:val="center"/>
          </w:tcPr>
          <w:p w14:paraId="783626BC">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lang w:val="en-US" w:eastAsia="zh-CN"/>
              </w:rPr>
              <w:t>灌浆料配比、注浆压力、排浆封堵时机</w:t>
            </w:r>
          </w:p>
        </w:tc>
        <w:tc>
          <w:tcPr>
            <w:tcW w:w="1951" w:type="dxa"/>
            <w:tcBorders>
              <w:top w:val="single" w:sz="4" w:space="0" w:color="CCCCCC"/>
              <w:left w:val="nil"/>
              <w:bottom w:val="nil"/>
              <w:right w:val="nil"/>
            </w:tcBorders>
            <w:shd w:val="clear" w:color="auto" w:fill="auto"/>
            <w:noWrap w:val="0"/>
            <w:tcMar>
              <w:top w:w="120" w:type="dxa"/>
              <w:left w:w="120" w:type="dxa"/>
              <w:bottom w:w="120" w:type="dxa"/>
              <w:right w:w="120" w:type="dxa"/>
            </w:tcMar>
            <w:vAlign w:val="center"/>
          </w:tcPr>
          <w:p w14:paraId="4101E5C8">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lang w:val="en-US" w:eastAsia="zh-CN"/>
              </w:rPr>
              <w:t>预埋钢丝拉拔、内窥镜、充盈度检测</w:t>
            </w:r>
          </w:p>
        </w:tc>
      </w:tr>
      <w:tr w14:paraId="3CEFD42A">
        <w:tblPrEx>
          <w:tblW w:w="8708" w:type="dxa"/>
          <w:jc w:val="center"/>
          <w:shd w:val="clear" w:color="auto" w:fill="auto"/>
          <w:tblCellMar>
            <w:top w:w="15" w:type="dxa"/>
            <w:left w:w="15" w:type="dxa"/>
            <w:bottom w:w="15" w:type="dxa"/>
            <w:right w:w="15" w:type="dxa"/>
          </w:tblCellMar>
        </w:tblPrEx>
        <w:trPr>
          <w:trHeight w:hRule="auto" w:val="0"/>
          <w:jc w:val="center"/>
        </w:trPr>
        <w:tc>
          <w:tcPr>
            <w:tcW w:w="0" w:type="auto"/>
            <w:tcBorders>
              <w:top w:val="nil"/>
              <w:left w:val="nil"/>
              <w:bottom w:val="nil"/>
              <w:right w:val="nil"/>
            </w:tcBorders>
            <w:shd w:val="clear" w:color="auto" w:fill="auto"/>
            <w:noWrap w:val="0"/>
            <w:tcMar>
              <w:top w:w="120" w:type="dxa"/>
              <w:left w:w="120" w:type="dxa"/>
              <w:bottom w:w="120" w:type="dxa"/>
              <w:right w:w="120" w:type="dxa"/>
            </w:tcMar>
            <w:vAlign w:val="center"/>
          </w:tcPr>
          <w:p w14:paraId="4DF36262">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lang w:val="en-US" w:eastAsia="zh-CN"/>
              </w:rPr>
              <w:t>直螺纹机械连接</w:t>
            </w:r>
          </w:p>
        </w:tc>
        <w:tc>
          <w:tcPr>
            <w:tcW w:w="1950" w:type="dxa"/>
            <w:tcBorders>
              <w:top w:val="nil"/>
              <w:left w:val="nil"/>
              <w:bottom w:val="nil"/>
              <w:right w:val="nil"/>
            </w:tcBorders>
            <w:shd w:val="clear" w:color="auto" w:fill="auto"/>
            <w:noWrap w:val="0"/>
            <w:tcMar>
              <w:top w:w="120" w:type="dxa"/>
              <w:left w:w="120" w:type="dxa"/>
              <w:bottom w:w="120" w:type="dxa"/>
              <w:right w:w="120" w:type="dxa"/>
            </w:tcMar>
            <w:vAlign w:val="center"/>
          </w:tcPr>
          <w:p w14:paraId="5941BB9D">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lang w:val="en-US" w:eastAsia="zh-CN"/>
              </w:rPr>
              <w:t>螺纹机械咬合传力</w:t>
            </w:r>
          </w:p>
        </w:tc>
        <w:tc>
          <w:tcPr>
            <w:tcW w:w="0" w:type="auto"/>
            <w:tcBorders>
              <w:top w:val="nil"/>
              <w:left w:val="nil"/>
              <w:bottom w:val="nil"/>
              <w:right w:val="nil"/>
            </w:tcBorders>
            <w:shd w:val="clear" w:color="auto" w:fill="auto"/>
            <w:noWrap w:val="0"/>
            <w:tcMar>
              <w:top w:w="120" w:type="dxa"/>
              <w:left w:w="120" w:type="dxa"/>
              <w:bottom w:w="120" w:type="dxa"/>
              <w:right w:w="120" w:type="dxa"/>
            </w:tcMar>
            <w:vAlign w:val="center"/>
          </w:tcPr>
          <w:p w14:paraId="4EA864F8">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lang w:val="en-US" w:eastAsia="zh-CN"/>
              </w:rPr>
              <w:t>预制梁纵筋、大直径钢筋对接</w:t>
            </w:r>
          </w:p>
        </w:tc>
        <w:tc>
          <w:tcPr>
            <w:tcW w:w="0" w:type="auto"/>
            <w:tcBorders>
              <w:top w:val="nil"/>
              <w:left w:val="nil"/>
              <w:bottom w:val="nil"/>
              <w:right w:val="nil"/>
            </w:tcBorders>
            <w:shd w:val="clear" w:color="auto" w:fill="auto"/>
            <w:noWrap w:val="0"/>
            <w:tcMar>
              <w:top w:w="120" w:type="dxa"/>
              <w:left w:w="120" w:type="dxa"/>
              <w:bottom w:w="120" w:type="dxa"/>
              <w:right w:w="120" w:type="dxa"/>
            </w:tcMar>
            <w:vAlign w:val="center"/>
          </w:tcPr>
          <w:p w14:paraId="22E49382">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lang w:val="en-US" w:eastAsia="zh-CN"/>
              </w:rPr>
              <w:t>丝头加工精度、拧紧力矩控制</w:t>
            </w:r>
          </w:p>
        </w:tc>
        <w:tc>
          <w:tcPr>
            <w:tcW w:w="1951" w:type="dxa"/>
            <w:tcBorders>
              <w:top w:val="nil"/>
              <w:left w:val="nil"/>
              <w:bottom w:val="nil"/>
              <w:right w:val="nil"/>
            </w:tcBorders>
            <w:shd w:val="clear" w:color="auto" w:fill="auto"/>
            <w:noWrap w:val="0"/>
            <w:tcMar>
              <w:top w:w="120" w:type="dxa"/>
              <w:left w:w="120" w:type="dxa"/>
              <w:bottom w:w="120" w:type="dxa"/>
              <w:right w:w="120" w:type="dxa"/>
            </w:tcMar>
            <w:vAlign w:val="center"/>
          </w:tcPr>
          <w:p w14:paraId="71ADDFA0">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lang w:val="en-US" w:eastAsia="zh-CN"/>
              </w:rPr>
              <w:t>接头拉伸试验、力矩抽检</w:t>
            </w:r>
          </w:p>
        </w:tc>
      </w:tr>
      <w:tr w14:paraId="21EC7279">
        <w:tblPrEx>
          <w:tblW w:w="8708" w:type="dxa"/>
          <w:jc w:val="center"/>
          <w:shd w:val="clear" w:color="auto" w:fill="auto"/>
          <w:tblCellMar>
            <w:top w:w="15" w:type="dxa"/>
            <w:left w:w="15" w:type="dxa"/>
            <w:bottom w:w="15" w:type="dxa"/>
            <w:right w:w="15" w:type="dxa"/>
          </w:tblCellMar>
        </w:tblPrEx>
        <w:trPr>
          <w:trHeight w:hRule="auto" w:val="0"/>
          <w:jc w:val="center"/>
        </w:trPr>
        <w:tc>
          <w:tcPr>
            <w:tcW w:w="0" w:type="auto"/>
            <w:tcBorders>
              <w:top w:val="nil"/>
              <w:left w:val="nil"/>
              <w:bottom w:val="nil"/>
              <w:right w:val="nil"/>
            </w:tcBorders>
            <w:shd w:val="clear" w:color="auto" w:fill="auto"/>
            <w:noWrap w:val="0"/>
            <w:tcMar>
              <w:top w:w="120" w:type="dxa"/>
              <w:left w:w="120" w:type="dxa"/>
              <w:bottom w:w="120" w:type="dxa"/>
              <w:right w:w="120" w:type="dxa"/>
            </w:tcMar>
            <w:vAlign w:val="center"/>
          </w:tcPr>
          <w:p w14:paraId="27508AF1">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lang w:val="en-US" w:eastAsia="zh-CN"/>
              </w:rPr>
              <w:t>叠合梁板节点</w:t>
            </w:r>
          </w:p>
        </w:tc>
        <w:tc>
          <w:tcPr>
            <w:tcW w:w="1950" w:type="dxa"/>
            <w:tcBorders>
              <w:top w:val="nil"/>
              <w:left w:val="nil"/>
              <w:bottom w:val="nil"/>
              <w:right w:val="nil"/>
            </w:tcBorders>
            <w:shd w:val="clear" w:color="auto" w:fill="auto"/>
            <w:noWrap w:val="0"/>
            <w:tcMar>
              <w:top w:w="120" w:type="dxa"/>
              <w:left w:w="120" w:type="dxa"/>
              <w:bottom w:w="120" w:type="dxa"/>
              <w:right w:w="120" w:type="dxa"/>
            </w:tcMar>
            <w:vAlign w:val="center"/>
          </w:tcPr>
          <w:p w14:paraId="20C1D7F5">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lang w:val="en-US" w:eastAsia="zh-CN"/>
              </w:rPr>
              <w:t>叠合面粘结、后浇混凝土整体传力</w:t>
            </w:r>
          </w:p>
        </w:tc>
        <w:tc>
          <w:tcPr>
            <w:tcW w:w="0" w:type="auto"/>
            <w:tcBorders>
              <w:top w:val="nil"/>
              <w:left w:val="nil"/>
              <w:bottom w:val="nil"/>
              <w:right w:val="nil"/>
            </w:tcBorders>
            <w:shd w:val="clear" w:color="auto" w:fill="auto"/>
            <w:noWrap w:val="0"/>
            <w:tcMar>
              <w:top w:w="120" w:type="dxa"/>
              <w:left w:w="120" w:type="dxa"/>
              <w:bottom w:w="120" w:type="dxa"/>
              <w:right w:w="120" w:type="dxa"/>
            </w:tcMar>
            <w:vAlign w:val="center"/>
          </w:tcPr>
          <w:p w14:paraId="50785192">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lang w:val="en-US" w:eastAsia="zh-CN"/>
              </w:rPr>
              <w:t>预制叠合板、叠合梁与现浇连接</w:t>
            </w:r>
          </w:p>
        </w:tc>
        <w:tc>
          <w:tcPr>
            <w:tcW w:w="0" w:type="auto"/>
            <w:tcBorders>
              <w:top w:val="nil"/>
              <w:left w:val="nil"/>
              <w:bottom w:val="nil"/>
              <w:right w:val="nil"/>
            </w:tcBorders>
            <w:shd w:val="clear" w:color="auto" w:fill="auto"/>
            <w:noWrap w:val="0"/>
            <w:tcMar>
              <w:top w:w="120" w:type="dxa"/>
              <w:left w:w="120" w:type="dxa"/>
              <w:bottom w:w="120" w:type="dxa"/>
              <w:right w:w="120" w:type="dxa"/>
            </w:tcMar>
            <w:vAlign w:val="center"/>
          </w:tcPr>
          <w:p w14:paraId="7BD702F7">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lang w:val="en-US" w:eastAsia="zh-CN"/>
              </w:rPr>
              <w:t>粗糙面处理、后浇层振捣、支撑拆模</w:t>
            </w:r>
          </w:p>
        </w:tc>
        <w:tc>
          <w:tcPr>
            <w:tcW w:w="1951" w:type="dxa"/>
            <w:tcBorders>
              <w:top w:val="nil"/>
              <w:left w:val="nil"/>
              <w:bottom w:val="nil"/>
              <w:right w:val="nil"/>
            </w:tcBorders>
            <w:shd w:val="clear" w:color="auto" w:fill="auto"/>
            <w:noWrap w:val="0"/>
            <w:tcMar>
              <w:top w:w="120" w:type="dxa"/>
              <w:left w:w="120" w:type="dxa"/>
              <w:bottom w:w="120" w:type="dxa"/>
              <w:right w:w="120" w:type="dxa"/>
            </w:tcMar>
            <w:vAlign w:val="center"/>
          </w:tcPr>
          <w:p w14:paraId="04CF3DC0">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lang w:val="en-US" w:eastAsia="zh-CN"/>
              </w:rPr>
              <w:t>叠合面检查、混凝土强度试块</w:t>
            </w:r>
          </w:p>
        </w:tc>
      </w:tr>
      <w:tr w14:paraId="5433D518">
        <w:tblPrEx>
          <w:tblW w:w="8708" w:type="dxa"/>
          <w:jc w:val="center"/>
          <w:shd w:val="clear" w:color="auto" w:fill="auto"/>
          <w:tblCellMar>
            <w:top w:w="15" w:type="dxa"/>
            <w:left w:w="15" w:type="dxa"/>
            <w:bottom w:w="15" w:type="dxa"/>
            <w:right w:w="15" w:type="dxa"/>
          </w:tblCellMar>
        </w:tblPrEx>
        <w:trPr>
          <w:trHeight w:hRule="auto" w:val="0"/>
          <w:jc w:val="center"/>
        </w:trPr>
        <w:tc>
          <w:tcPr>
            <w:tcW w:w="1110" w:type="dxa"/>
            <w:tcBorders>
              <w:top w:val="nil"/>
              <w:left w:val="nil"/>
              <w:bottom w:val="single" w:sz="12" w:space="0" w:color="CCCCCC"/>
              <w:right w:val="nil"/>
            </w:tcBorders>
            <w:shd w:val="clear" w:color="auto" w:fill="auto"/>
            <w:noWrap w:val="0"/>
            <w:tcMar>
              <w:top w:w="120" w:type="dxa"/>
              <w:left w:w="120" w:type="dxa"/>
              <w:bottom w:w="120" w:type="dxa"/>
              <w:right w:w="120" w:type="dxa"/>
            </w:tcMar>
            <w:vAlign w:val="center"/>
          </w:tcPr>
          <w:p w14:paraId="273F1B8B">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lang w:val="en-US" w:eastAsia="zh-CN"/>
              </w:rPr>
              <w:t>墙板接缝连接</w:t>
            </w:r>
          </w:p>
        </w:tc>
        <w:tc>
          <w:tcPr>
            <w:tcW w:w="1950" w:type="dxa"/>
            <w:tcBorders>
              <w:top w:val="nil"/>
              <w:left w:val="nil"/>
              <w:bottom w:val="single" w:sz="12" w:space="0" w:color="CCCCCC"/>
              <w:right w:val="nil"/>
            </w:tcBorders>
            <w:shd w:val="clear" w:color="auto" w:fill="auto"/>
            <w:noWrap w:val="0"/>
            <w:tcMar>
              <w:top w:w="120" w:type="dxa"/>
              <w:left w:w="120" w:type="dxa"/>
              <w:bottom w:w="120" w:type="dxa"/>
              <w:right w:w="120" w:type="dxa"/>
            </w:tcMar>
            <w:vAlign w:val="center"/>
          </w:tcPr>
          <w:p w14:paraId="65B4C625">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lang w:val="en-US" w:eastAsia="zh-CN"/>
              </w:rPr>
              <w:t>坐浆层承压、连接键、现浇带传力</w:t>
            </w:r>
          </w:p>
        </w:tc>
        <w:tc>
          <w:tcPr>
            <w:tcW w:w="1715" w:type="dxa"/>
            <w:tcBorders>
              <w:top w:val="nil"/>
              <w:left w:val="nil"/>
              <w:bottom w:val="single" w:sz="12" w:space="0" w:color="CCCCCC"/>
              <w:right w:val="nil"/>
            </w:tcBorders>
            <w:shd w:val="clear" w:color="auto" w:fill="auto"/>
            <w:noWrap w:val="0"/>
            <w:tcMar>
              <w:top w:w="120" w:type="dxa"/>
              <w:left w:w="120" w:type="dxa"/>
              <w:bottom w:w="120" w:type="dxa"/>
              <w:right w:w="120" w:type="dxa"/>
            </w:tcMar>
            <w:vAlign w:val="center"/>
          </w:tcPr>
          <w:p w14:paraId="227783AD">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lang w:val="en-US" w:eastAsia="zh-CN"/>
              </w:rPr>
              <w:t>预制墙板水平、竖直接缝</w:t>
            </w:r>
          </w:p>
        </w:tc>
        <w:tc>
          <w:tcPr>
            <w:tcW w:w="1982" w:type="dxa"/>
            <w:tcBorders>
              <w:top w:val="nil"/>
              <w:left w:val="nil"/>
              <w:bottom w:val="single" w:sz="12" w:space="0" w:color="CCCCCC"/>
              <w:right w:val="nil"/>
            </w:tcBorders>
            <w:shd w:val="clear" w:color="auto" w:fill="auto"/>
            <w:noWrap w:val="0"/>
            <w:tcMar>
              <w:top w:w="120" w:type="dxa"/>
              <w:left w:w="120" w:type="dxa"/>
              <w:bottom w:w="120" w:type="dxa"/>
              <w:right w:w="120" w:type="dxa"/>
            </w:tcMar>
            <w:vAlign w:val="center"/>
          </w:tcPr>
          <w:p w14:paraId="33D7C803">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lang w:val="en-US" w:eastAsia="zh-CN"/>
              </w:rPr>
              <w:t>坐浆厚度、密封胶施工、接缝养护</w:t>
            </w:r>
          </w:p>
        </w:tc>
        <w:tc>
          <w:tcPr>
            <w:tcW w:w="1951" w:type="dxa"/>
            <w:tcBorders>
              <w:top w:val="nil"/>
              <w:left w:val="nil"/>
              <w:bottom w:val="single" w:sz="12" w:space="0" w:color="CCCCCC"/>
              <w:right w:val="nil"/>
            </w:tcBorders>
            <w:shd w:val="clear" w:color="auto" w:fill="auto"/>
            <w:noWrap w:val="0"/>
            <w:tcMar>
              <w:top w:w="120" w:type="dxa"/>
              <w:left w:w="120" w:type="dxa"/>
              <w:bottom w:w="120" w:type="dxa"/>
              <w:right w:w="120" w:type="dxa"/>
            </w:tcMar>
            <w:vAlign w:val="center"/>
          </w:tcPr>
          <w:p w14:paraId="4F8BE405">
            <w:pPr>
              <w:keepNext/>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lang w:val="en-US" w:eastAsia="zh-CN"/>
              </w:rPr>
              <w:t>接缝外观检查、渗漏试验</w:t>
            </w:r>
          </w:p>
        </w:tc>
      </w:tr>
    </w:tbl>
    <w:p w14:paraId="6905A84F">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2"/>
        <w:rPr>
          <w:rFonts w:ascii="宋体" w:eastAsia="宋体" w:hAnsi="宋体" w:cs="宋体" w:hint="eastAsia"/>
          <w:b w:val="0"/>
          <w:bCs/>
          <w:kern w:val="0"/>
          <w:sz w:val="21"/>
          <w:szCs w:val="21"/>
        </w:rPr>
      </w:pPr>
      <w:bookmarkStart w:id="3" w:name="heading_5"/>
      <w:r>
        <w:rPr>
          <w:rFonts w:ascii="宋体" w:eastAsia="宋体" w:hAnsi="宋体" w:cs="宋体" w:hint="eastAsia"/>
          <w:b w:val="0"/>
          <w:bCs/>
          <w:kern w:val="0"/>
          <w:sz w:val="21"/>
          <w:szCs w:val="21"/>
        </w:rPr>
        <w:t>1.2施工现场节点连接存在的质量通病</w:t>
      </w:r>
      <w:bookmarkEnd w:id="3"/>
    </w:p>
    <w:p w14:paraId="7CEED07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整理各个装配式房建项目的隐蔽验收记录，节点连接缺陷多集中在几个方面。套筒灌浆工序浆料流动性衰减速度过快、封堵时间过晚致使套筒内部形成空腔，预制构件的预埋套筒位置不准造成钢筋插入过浅，叠合梁板节点钢筋排列过于密集，振捣时留有盲区形成蜂窝状孔洞，墙板坐浆层厚度不均造成局部空隙，接缝密封胶粘接基面清理不彻底造成后期开裂渗水。</w:t>
      </w:r>
    </w:p>
    <w:p w14:paraId="66BD2982">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对本项目前期样板施工阶段出现的各种缺陷进行统计，并整理成表2</w:t>
      </w:r>
      <w:r>
        <w:rPr>
          <w:rFonts w:ascii="宋体" w:eastAsia="宋体" w:hAnsi="宋体" w:cs="宋体" w:hint="eastAsia"/>
          <w:b w:val="0"/>
          <w:bCs/>
          <w:kern w:val="0"/>
          <w:sz w:val="21"/>
          <w:szCs w:val="21"/>
          <w:lang w:val="en-US" w:eastAsia="zh-CN"/>
        </w:rPr>
        <w:t>，</w:t>
      </w:r>
      <w:r>
        <w:rPr>
          <w:rFonts w:ascii="宋体" w:eastAsia="宋体" w:hAnsi="宋体" w:cs="宋体" w:hint="eastAsia"/>
          <w:b w:val="0"/>
          <w:bCs/>
          <w:kern w:val="0"/>
          <w:sz w:val="21"/>
          <w:szCs w:val="21"/>
        </w:rPr>
        <w:t>可以清楚的看出各种缺陷出现的次数。</w:t>
      </w:r>
    </w:p>
    <w:p w14:paraId="1166637D">
      <w:pPr>
        <w:keepNext w:val="0"/>
        <w:keepLines w:val="0"/>
        <w:pageBreakBefore w:val="0"/>
        <w:widowControl w:val="0"/>
        <w:kinsoku/>
        <w:wordWrap/>
        <w:overflowPunct/>
        <w:topLinePunct w:val="0"/>
        <w:autoSpaceDE/>
        <w:autoSpaceDN/>
        <w:bidi w:val="0"/>
        <w:adjustRightInd/>
        <w:snapToGrid/>
        <w:spacing w:line="360" w:lineRule="auto"/>
        <w:ind w:left="0" w:firstLine="1260" w:firstLineChars="6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表</w:t>
      </w:r>
      <w:r>
        <w:rPr>
          <w:rFonts w:ascii="宋体" w:eastAsia="宋体" w:hAnsi="宋体" w:cs="宋体" w:hint="eastAsia"/>
          <w:b w:val="0"/>
          <w:bCs/>
          <w:kern w:val="0"/>
          <w:sz w:val="21"/>
          <w:szCs w:val="21"/>
          <w:lang w:val="en-US" w:eastAsia="zh-CN"/>
        </w:rPr>
        <w:t xml:space="preserve">2          </w:t>
      </w:r>
      <w:r>
        <w:rPr>
          <w:rFonts w:ascii="宋体" w:eastAsia="宋体" w:hAnsi="宋体" w:cs="宋体" w:hint="eastAsia"/>
          <w:b w:val="0"/>
          <w:bCs/>
          <w:kern w:val="0"/>
          <w:sz w:val="21"/>
          <w:szCs w:val="21"/>
        </w:rPr>
        <w:t>装配式节点样板施工缺陷统计</w:t>
      </w:r>
    </w:p>
    <w:tbl>
      <w:tblPr>
        <w:tblStyle w:val="TableNormal"/>
        <w:tblW w:w="8522" w:type="dxa"/>
        <w:jc w:val="center"/>
        <w:tblBorders>
          <w:top w:val="nil"/>
          <w:left w:val="nil"/>
          <w:bottom w:val="nil"/>
          <w:right w:val="nil"/>
          <w:insideH w:val="nil"/>
          <w:insideV w:val="nil"/>
        </w:tblBorders>
        <w:tblCellMar>
          <w:top w:w="0" w:type="dxa"/>
          <w:left w:w="10" w:type="dxa"/>
          <w:bottom w:w="0" w:type="dxa"/>
          <w:right w:w="10" w:type="dxa"/>
        </w:tblCellMar>
      </w:tblPr>
      <w:tblGrid>
        <w:gridCol w:w="4822"/>
        <w:gridCol w:w="2043"/>
        <w:gridCol w:w="1657"/>
      </w:tblGrid>
      <w:tr w14:paraId="41662070">
        <w:tblPrEx>
          <w:tblW w:w="8522" w:type="dxa"/>
          <w:jc w:val="center"/>
          <w:tblBorders>
            <w:top w:val="nil"/>
            <w:left w:val="nil"/>
            <w:bottom w:val="nil"/>
            <w:right w:val="nil"/>
            <w:insideH w:val="nil"/>
            <w:insideV w:val="nil"/>
          </w:tblBorders>
          <w:tblCellMar>
            <w:top w:w="0" w:type="dxa"/>
            <w:left w:w="10" w:type="dxa"/>
            <w:bottom w:w="0" w:type="dxa"/>
            <w:right w:w="10" w:type="dxa"/>
          </w:tblCellMar>
        </w:tblPrEx>
        <w:trPr>
          <w:trHeight w:hRule="auto" w:val="0"/>
          <w:tblHeader/>
          <w:jc w:val="center"/>
        </w:trPr>
        <w:tc>
          <w:tcPr>
            <w:tcW w:w="4822" w:type="dxa"/>
            <w:tcBorders>
              <w:top w:val="single" w:sz="12" w:space="0" w:color="auto"/>
              <w:left w:val="nil"/>
              <w:bottom w:val="nil"/>
              <w:right w:val="nil"/>
            </w:tcBorders>
            <w:noWrap w:val="0"/>
            <w:tcMar>
              <w:top w:w="60" w:type="dxa"/>
              <w:left w:w="120" w:type="dxa"/>
              <w:bottom w:w="30" w:type="dxa"/>
              <w:right w:w="120" w:type="dxa"/>
            </w:tcMar>
            <w:vAlign w:val="center"/>
          </w:tcPr>
          <w:p w14:paraId="2941B5F8">
            <w:pPr>
              <w:keepNext w:val="0"/>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bCs/>
                <w:kern w:val="0"/>
                <w:sz w:val="21"/>
                <w:szCs w:val="21"/>
              </w:rPr>
            </w:pPr>
            <w:r>
              <w:rPr>
                <w:rFonts w:ascii="宋体" w:eastAsia="宋体" w:hAnsi="宋体" w:cs="宋体" w:hint="eastAsia"/>
                <w:b/>
                <w:bCs/>
                <w:kern w:val="0"/>
                <w:sz w:val="21"/>
                <w:szCs w:val="21"/>
              </w:rPr>
              <w:t>缺陷类型</w:t>
            </w:r>
          </w:p>
        </w:tc>
        <w:tc>
          <w:tcPr>
            <w:tcW w:w="2043" w:type="dxa"/>
            <w:tcBorders>
              <w:top w:val="single" w:sz="12" w:space="0" w:color="auto"/>
              <w:left w:val="nil"/>
              <w:bottom w:val="nil"/>
              <w:right w:val="nil"/>
            </w:tcBorders>
            <w:noWrap w:val="0"/>
            <w:tcMar>
              <w:top w:w="60" w:type="dxa"/>
              <w:left w:w="120" w:type="dxa"/>
              <w:bottom w:w="30" w:type="dxa"/>
              <w:right w:w="120" w:type="dxa"/>
            </w:tcMar>
            <w:vAlign w:val="center"/>
          </w:tcPr>
          <w:p w14:paraId="6E69EC95">
            <w:pPr>
              <w:keepNext w:val="0"/>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bCs/>
                <w:kern w:val="0"/>
                <w:sz w:val="21"/>
                <w:szCs w:val="21"/>
              </w:rPr>
            </w:pPr>
            <w:r>
              <w:rPr>
                <w:rFonts w:ascii="宋体" w:eastAsia="宋体" w:hAnsi="宋体" w:cs="宋体" w:hint="eastAsia"/>
                <w:b/>
                <w:bCs/>
                <w:kern w:val="0"/>
                <w:sz w:val="21"/>
                <w:szCs w:val="21"/>
              </w:rPr>
              <w:t>出现次数</w:t>
            </w:r>
          </w:p>
        </w:tc>
        <w:tc>
          <w:tcPr>
            <w:tcW w:w="1657" w:type="dxa"/>
            <w:tcBorders>
              <w:top w:val="single" w:sz="12" w:space="0" w:color="auto"/>
              <w:left w:val="nil"/>
              <w:bottom w:val="nil"/>
              <w:right w:val="nil"/>
            </w:tcBorders>
            <w:noWrap w:val="0"/>
            <w:tcMar>
              <w:top w:w="60" w:type="dxa"/>
              <w:left w:w="120" w:type="dxa"/>
              <w:bottom w:w="30" w:type="dxa"/>
              <w:right w:w="120" w:type="dxa"/>
            </w:tcMar>
            <w:vAlign w:val="center"/>
          </w:tcPr>
          <w:p w14:paraId="3DE067DC">
            <w:pPr>
              <w:keepNext w:val="0"/>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bCs/>
                <w:kern w:val="0"/>
                <w:sz w:val="21"/>
                <w:szCs w:val="21"/>
              </w:rPr>
            </w:pPr>
            <w:r>
              <w:rPr>
                <w:rFonts w:ascii="宋体" w:eastAsia="宋体" w:hAnsi="宋体" w:cs="宋体" w:hint="eastAsia"/>
                <w:b/>
                <w:bCs/>
                <w:kern w:val="0"/>
                <w:sz w:val="21"/>
                <w:szCs w:val="21"/>
              </w:rPr>
              <w:t>占比/%</w:t>
            </w:r>
          </w:p>
        </w:tc>
      </w:tr>
      <w:tr w14:paraId="22377198">
        <w:tblPrEx>
          <w:tblW w:w="8522" w:type="dxa"/>
          <w:jc w:val="center"/>
          <w:tblCellMar>
            <w:top w:w="0" w:type="dxa"/>
            <w:left w:w="10" w:type="dxa"/>
            <w:bottom w:w="0" w:type="dxa"/>
            <w:right w:w="10" w:type="dxa"/>
          </w:tblCellMar>
        </w:tblPrEx>
        <w:trPr>
          <w:trHeight w:hRule="auto" w:val="0"/>
          <w:jc w:val="center"/>
        </w:trPr>
        <w:tc>
          <w:tcPr>
            <w:tcW w:w="4822" w:type="dxa"/>
            <w:tcBorders>
              <w:top w:val="single" w:sz="4" w:space="0" w:color="auto"/>
              <w:left w:val="nil"/>
              <w:bottom w:val="nil"/>
              <w:right w:val="nil"/>
            </w:tcBorders>
            <w:noWrap w:val="0"/>
            <w:tcMar>
              <w:top w:w="60" w:type="dxa"/>
              <w:left w:w="120" w:type="dxa"/>
              <w:bottom w:w="30" w:type="dxa"/>
              <w:right w:w="120" w:type="dxa"/>
            </w:tcMar>
            <w:vAlign w:val="center"/>
          </w:tcPr>
          <w:p w14:paraId="24112DB1">
            <w:pPr>
              <w:keepNext w:val="0"/>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套筒灌浆充盈不足</w:t>
            </w:r>
          </w:p>
        </w:tc>
        <w:tc>
          <w:tcPr>
            <w:tcW w:w="2043" w:type="dxa"/>
            <w:tcBorders>
              <w:top w:val="single" w:sz="4" w:space="0" w:color="auto"/>
              <w:left w:val="nil"/>
              <w:bottom w:val="nil"/>
              <w:right w:val="nil"/>
            </w:tcBorders>
            <w:noWrap w:val="0"/>
            <w:tcMar>
              <w:top w:w="60" w:type="dxa"/>
              <w:left w:w="120" w:type="dxa"/>
              <w:bottom w:w="30" w:type="dxa"/>
              <w:right w:w="120" w:type="dxa"/>
            </w:tcMar>
            <w:vAlign w:val="center"/>
          </w:tcPr>
          <w:p w14:paraId="633D0DBB">
            <w:pPr>
              <w:keepNext w:val="0"/>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12</w:t>
            </w:r>
          </w:p>
        </w:tc>
        <w:tc>
          <w:tcPr>
            <w:tcW w:w="1657" w:type="dxa"/>
            <w:tcBorders>
              <w:top w:val="single" w:sz="4" w:space="0" w:color="auto"/>
              <w:left w:val="nil"/>
              <w:bottom w:val="nil"/>
              <w:right w:val="nil"/>
            </w:tcBorders>
            <w:noWrap w:val="0"/>
            <w:tcMar>
              <w:top w:w="60" w:type="dxa"/>
              <w:left w:w="120" w:type="dxa"/>
              <w:bottom w:w="30" w:type="dxa"/>
              <w:right w:w="120" w:type="dxa"/>
            </w:tcMar>
            <w:vAlign w:val="center"/>
          </w:tcPr>
          <w:p w14:paraId="354ED09A">
            <w:pPr>
              <w:keepNext w:val="0"/>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41.4</w:t>
            </w:r>
          </w:p>
        </w:tc>
      </w:tr>
      <w:tr w14:paraId="12BD438A">
        <w:tblPrEx>
          <w:tblW w:w="8522" w:type="dxa"/>
          <w:jc w:val="center"/>
          <w:tblCellMar>
            <w:top w:w="0" w:type="dxa"/>
            <w:left w:w="10" w:type="dxa"/>
            <w:bottom w:w="0" w:type="dxa"/>
            <w:right w:w="10" w:type="dxa"/>
          </w:tblCellMar>
        </w:tblPrEx>
        <w:trPr>
          <w:trHeight w:hRule="auto" w:val="0"/>
          <w:jc w:val="center"/>
        </w:trPr>
        <w:tc>
          <w:tcPr>
            <w:tcW w:w="4822" w:type="dxa"/>
            <w:tcBorders>
              <w:top w:val="nil"/>
              <w:left w:val="nil"/>
              <w:bottom w:val="nil"/>
              <w:right w:val="nil"/>
            </w:tcBorders>
            <w:noWrap w:val="0"/>
            <w:tcMar>
              <w:top w:w="60" w:type="dxa"/>
              <w:left w:w="120" w:type="dxa"/>
              <w:bottom w:w="30" w:type="dxa"/>
              <w:right w:w="120" w:type="dxa"/>
            </w:tcMar>
            <w:vAlign w:val="center"/>
          </w:tcPr>
          <w:p w14:paraId="2F354746">
            <w:pPr>
              <w:keepNext w:val="0"/>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套筒预埋位置偏移</w:t>
            </w:r>
          </w:p>
        </w:tc>
        <w:tc>
          <w:tcPr>
            <w:tcW w:w="2043" w:type="dxa"/>
            <w:tcBorders>
              <w:top w:val="nil"/>
              <w:left w:val="nil"/>
              <w:bottom w:val="nil"/>
              <w:right w:val="nil"/>
            </w:tcBorders>
            <w:noWrap w:val="0"/>
            <w:tcMar>
              <w:top w:w="60" w:type="dxa"/>
              <w:left w:w="120" w:type="dxa"/>
              <w:bottom w:w="30" w:type="dxa"/>
              <w:right w:w="120" w:type="dxa"/>
            </w:tcMar>
            <w:vAlign w:val="center"/>
          </w:tcPr>
          <w:p w14:paraId="3E69EE1E">
            <w:pPr>
              <w:keepNext w:val="0"/>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7</w:t>
            </w:r>
          </w:p>
        </w:tc>
        <w:tc>
          <w:tcPr>
            <w:tcW w:w="1657" w:type="dxa"/>
            <w:tcBorders>
              <w:top w:val="nil"/>
              <w:left w:val="nil"/>
              <w:bottom w:val="nil"/>
              <w:right w:val="nil"/>
            </w:tcBorders>
            <w:noWrap w:val="0"/>
            <w:tcMar>
              <w:top w:w="60" w:type="dxa"/>
              <w:left w:w="120" w:type="dxa"/>
              <w:bottom w:w="30" w:type="dxa"/>
              <w:right w:w="120" w:type="dxa"/>
            </w:tcMar>
            <w:vAlign w:val="center"/>
          </w:tcPr>
          <w:p w14:paraId="52B1FC2A">
            <w:pPr>
              <w:keepNext w:val="0"/>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24.1</w:t>
            </w:r>
          </w:p>
        </w:tc>
      </w:tr>
      <w:tr w14:paraId="5D3A6094">
        <w:tblPrEx>
          <w:tblW w:w="8522" w:type="dxa"/>
          <w:jc w:val="center"/>
          <w:tblCellMar>
            <w:top w:w="0" w:type="dxa"/>
            <w:left w:w="10" w:type="dxa"/>
            <w:bottom w:w="0" w:type="dxa"/>
            <w:right w:w="10" w:type="dxa"/>
          </w:tblCellMar>
        </w:tblPrEx>
        <w:trPr>
          <w:trHeight w:hRule="auto" w:val="0"/>
          <w:jc w:val="center"/>
        </w:trPr>
        <w:tc>
          <w:tcPr>
            <w:tcW w:w="4822" w:type="dxa"/>
            <w:tcBorders>
              <w:top w:val="nil"/>
              <w:left w:val="nil"/>
              <w:bottom w:val="nil"/>
              <w:right w:val="nil"/>
            </w:tcBorders>
            <w:noWrap w:val="0"/>
            <w:tcMar>
              <w:top w:w="60" w:type="dxa"/>
              <w:left w:w="120" w:type="dxa"/>
              <w:bottom w:w="30" w:type="dxa"/>
              <w:right w:w="120" w:type="dxa"/>
            </w:tcMar>
            <w:vAlign w:val="center"/>
          </w:tcPr>
          <w:p w14:paraId="2B1C6914">
            <w:pPr>
              <w:keepNext w:val="0"/>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叠合节点混凝土振捣缺陷</w:t>
            </w:r>
          </w:p>
        </w:tc>
        <w:tc>
          <w:tcPr>
            <w:tcW w:w="2043" w:type="dxa"/>
            <w:tcBorders>
              <w:top w:val="nil"/>
              <w:left w:val="nil"/>
              <w:bottom w:val="nil"/>
              <w:right w:val="nil"/>
            </w:tcBorders>
            <w:noWrap w:val="0"/>
            <w:tcMar>
              <w:top w:w="60" w:type="dxa"/>
              <w:left w:w="120" w:type="dxa"/>
              <w:bottom w:w="30" w:type="dxa"/>
              <w:right w:w="120" w:type="dxa"/>
            </w:tcMar>
            <w:vAlign w:val="center"/>
          </w:tcPr>
          <w:p w14:paraId="70B22A74">
            <w:pPr>
              <w:keepNext w:val="0"/>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5</w:t>
            </w:r>
          </w:p>
        </w:tc>
        <w:tc>
          <w:tcPr>
            <w:tcW w:w="1657" w:type="dxa"/>
            <w:tcBorders>
              <w:top w:val="nil"/>
              <w:left w:val="nil"/>
              <w:bottom w:val="nil"/>
              <w:right w:val="nil"/>
            </w:tcBorders>
            <w:noWrap w:val="0"/>
            <w:tcMar>
              <w:top w:w="60" w:type="dxa"/>
              <w:left w:w="120" w:type="dxa"/>
              <w:bottom w:w="30" w:type="dxa"/>
              <w:right w:w="120" w:type="dxa"/>
            </w:tcMar>
            <w:vAlign w:val="center"/>
          </w:tcPr>
          <w:p w14:paraId="1D3BCCEA">
            <w:pPr>
              <w:keepNext w:val="0"/>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17.2</w:t>
            </w:r>
          </w:p>
        </w:tc>
      </w:tr>
      <w:tr w14:paraId="0EA31DEE">
        <w:tblPrEx>
          <w:tblW w:w="8522" w:type="dxa"/>
          <w:jc w:val="center"/>
          <w:tblCellMar>
            <w:top w:w="0" w:type="dxa"/>
            <w:left w:w="10" w:type="dxa"/>
            <w:bottom w:w="0" w:type="dxa"/>
            <w:right w:w="10" w:type="dxa"/>
          </w:tblCellMar>
        </w:tblPrEx>
        <w:trPr>
          <w:trHeight w:hRule="auto" w:val="0"/>
          <w:jc w:val="center"/>
        </w:trPr>
        <w:tc>
          <w:tcPr>
            <w:tcW w:w="4822" w:type="dxa"/>
            <w:tcBorders>
              <w:top w:val="nil"/>
              <w:left w:val="nil"/>
              <w:bottom w:val="nil"/>
              <w:right w:val="nil"/>
            </w:tcBorders>
            <w:noWrap w:val="0"/>
            <w:tcMar>
              <w:top w:w="60" w:type="dxa"/>
              <w:left w:w="120" w:type="dxa"/>
              <w:bottom w:w="30" w:type="dxa"/>
              <w:right w:w="120" w:type="dxa"/>
            </w:tcMar>
            <w:vAlign w:val="center"/>
          </w:tcPr>
          <w:p w14:paraId="066F9477">
            <w:pPr>
              <w:keepNext w:val="0"/>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墙板坐浆层不连续</w:t>
            </w:r>
          </w:p>
        </w:tc>
        <w:tc>
          <w:tcPr>
            <w:tcW w:w="2043" w:type="dxa"/>
            <w:tcBorders>
              <w:top w:val="nil"/>
              <w:left w:val="nil"/>
              <w:bottom w:val="nil"/>
              <w:right w:val="nil"/>
            </w:tcBorders>
            <w:noWrap w:val="0"/>
            <w:tcMar>
              <w:top w:w="60" w:type="dxa"/>
              <w:left w:w="120" w:type="dxa"/>
              <w:bottom w:w="30" w:type="dxa"/>
              <w:right w:w="120" w:type="dxa"/>
            </w:tcMar>
            <w:vAlign w:val="center"/>
          </w:tcPr>
          <w:p w14:paraId="38F0FCCB">
            <w:pPr>
              <w:keepNext w:val="0"/>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3</w:t>
            </w:r>
          </w:p>
        </w:tc>
        <w:tc>
          <w:tcPr>
            <w:tcW w:w="1657" w:type="dxa"/>
            <w:tcBorders>
              <w:top w:val="nil"/>
              <w:left w:val="nil"/>
              <w:bottom w:val="nil"/>
              <w:right w:val="nil"/>
            </w:tcBorders>
            <w:noWrap w:val="0"/>
            <w:tcMar>
              <w:top w:w="60" w:type="dxa"/>
              <w:left w:w="120" w:type="dxa"/>
              <w:bottom w:w="30" w:type="dxa"/>
              <w:right w:w="120" w:type="dxa"/>
            </w:tcMar>
            <w:vAlign w:val="center"/>
          </w:tcPr>
          <w:p w14:paraId="36E0E512">
            <w:pPr>
              <w:keepNext w:val="0"/>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10.3</w:t>
            </w:r>
          </w:p>
        </w:tc>
      </w:tr>
      <w:tr w14:paraId="1407BCB8">
        <w:tblPrEx>
          <w:tblW w:w="8522" w:type="dxa"/>
          <w:jc w:val="center"/>
          <w:tblCellMar>
            <w:top w:w="0" w:type="dxa"/>
            <w:left w:w="10" w:type="dxa"/>
            <w:bottom w:w="0" w:type="dxa"/>
            <w:right w:w="10" w:type="dxa"/>
          </w:tblCellMar>
        </w:tblPrEx>
        <w:trPr>
          <w:trHeight w:hRule="auto" w:val="0"/>
          <w:jc w:val="center"/>
        </w:trPr>
        <w:tc>
          <w:tcPr>
            <w:tcW w:w="4822" w:type="dxa"/>
            <w:tcBorders>
              <w:top w:val="nil"/>
              <w:left w:val="nil"/>
              <w:bottom w:val="single" w:sz="12" w:space="0" w:color="auto"/>
              <w:right w:val="nil"/>
            </w:tcBorders>
            <w:noWrap w:val="0"/>
            <w:tcMar>
              <w:top w:w="60" w:type="dxa"/>
              <w:left w:w="120" w:type="dxa"/>
              <w:bottom w:w="30" w:type="dxa"/>
              <w:right w:w="120" w:type="dxa"/>
            </w:tcMar>
            <w:vAlign w:val="center"/>
          </w:tcPr>
          <w:p w14:paraId="05962012">
            <w:pPr>
              <w:keepNext w:val="0"/>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接缝密封胶开裂</w:t>
            </w:r>
          </w:p>
        </w:tc>
        <w:tc>
          <w:tcPr>
            <w:tcW w:w="2043" w:type="dxa"/>
            <w:tcBorders>
              <w:top w:val="nil"/>
              <w:left w:val="nil"/>
              <w:bottom w:val="single" w:sz="12" w:space="0" w:color="auto"/>
              <w:right w:val="nil"/>
            </w:tcBorders>
            <w:noWrap w:val="0"/>
            <w:tcMar>
              <w:top w:w="60" w:type="dxa"/>
              <w:left w:w="120" w:type="dxa"/>
              <w:bottom w:w="30" w:type="dxa"/>
              <w:right w:w="120" w:type="dxa"/>
            </w:tcMar>
            <w:vAlign w:val="center"/>
          </w:tcPr>
          <w:p w14:paraId="7320997D">
            <w:pPr>
              <w:keepNext w:val="0"/>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2</w:t>
            </w:r>
          </w:p>
        </w:tc>
        <w:tc>
          <w:tcPr>
            <w:tcW w:w="1657" w:type="dxa"/>
            <w:tcBorders>
              <w:top w:val="nil"/>
              <w:left w:val="nil"/>
              <w:bottom w:val="single" w:sz="12" w:space="0" w:color="auto"/>
              <w:right w:val="nil"/>
            </w:tcBorders>
            <w:noWrap w:val="0"/>
            <w:tcMar>
              <w:top w:w="60" w:type="dxa"/>
              <w:left w:w="120" w:type="dxa"/>
              <w:bottom w:w="30" w:type="dxa"/>
              <w:right w:w="120" w:type="dxa"/>
            </w:tcMar>
            <w:vAlign w:val="center"/>
          </w:tcPr>
          <w:p w14:paraId="5F5588F2">
            <w:pPr>
              <w:keepNext w:val="0"/>
              <w:keepLines w:val="0"/>
              <w:pageBreakBefore w:val="0"/>
              <w:widowControl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6.9</w:t>
            </w:r>
          </w:p>
        </w:tc>
      </w:tr>
    </w:tbl>
    <w:p w14:paraId="5FB47821">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2"/>
        <w:rPr>
          <w:rFonts w:ascii="宋体" w:eastAsia="宋体" w:hAnsi="宋体" w:cs="宋体" w:hint="eastAsia"/>
          <w:b w:val="0"/>
          <w:bCs/>
          <w:kern w:val="0"/>
          <w:sz w:val="21"/>
          <w:szCs w:val="21"/>
        </w:rPr>
      </w:pPr>
      <w:bookmarkStart w:id="4" w:name="heading_6"/>
      <w:r>
        <w:rPr>
          <w:rFonts w:ascii="宋体" w:eastAsia="宋体" w:hAnsi="宋体" w:cs="宋体" w:hint="eastAsia"/>
          <w:b w:val="0"/>
          <w:bCs/>
          <w:kern w:val="0"/>
          <w:sz w:val="21"/>
          <w:szCs w:val="21"/>
        </w:rPr>
        <w:t>1.3节点连接对结构安全的关键影响</w:t>
      </w:r>
      <w:bookmarkEnd w:id="4"/>
    </w:p>
    <w:p w14:paraId="7A6B5CA5">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节点区域是应力集中的区域，在竖向荷载和水平地震作用的共同作用下，最先破坏的是连接部位。套筒灌浆连接靠灌浆料和钢筋、套筒内壁的粘结摩擦力传递拉力，粘结界面粘结长度不够时就会发生粘结破坏。</w:t>
      </w:r>
    </w:p>
    <w:p w14:paraId="2F39A9EA">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2"/>
        <w:rPr>
          <w:rFonts w:ascii="宋体" w:eastAsia="宋体" w:hAnsi="宋体" w:cs="宋体" w:hint="eastAsia"/>
          <w:b w:val="0"/>
          <w:bCs/>
          <w:kern w:val="0"/>
          <w:sz w:val="21"/>
          <w:szCs w:val="21"/>
        </w:rPr>
      </w:pPr>
      <w:bookmarkStart w:id="5" w:name="heading_7"/>
    </w:p>
    <w:p w14:paraId="4A0889FF">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2"/>
        <w:rPr>
          <w:rFonts w:ascii="宋体" w:eastAsia="宋体" w:hAnsi="宋体" w:cs="宋体" w:hint="eastAsia"/>
          <w:b w:val="0"/>
          <w:bCs/>
          <w:kern w:val="0"/>
          <w:sz w:val="21"/>
          <w:szCs w:val="21"/>
        </w:rPr>
      </w:pPr>
    </w:p>
    <w:p w14:paraId="0B764085">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2"/>
        <w:rPr>
          <w:rFonts w:ascii="宋体" w:eastAsia="宋体" w:hAnsi="宋体" w:cs="宋体" w:hint="eastAsia"/>
          <w:b w:val="0"/>
          <w:bCs/>
          <w:kern w:val="0"/>
          <w:sz w:val="21"/>
          <w:szCs w:val="21"/>
        </w:rPr>
      </w:pPr>
      <w:r>
        <w:rPr>
          <w:rFonts w:ascii="宋体" w:eastAsia="宋体" w:hAnsi="宋体" w:cs="宋体" w:hint="eastAsia"/>
          <w:b w:val="0"/>
          <w:bCs/>
          <w:kern w:val="0"/>
          <w:sz w:val="21"/>
          <w:szCs w:val="21"/>
        </w:rPr>
        <w:t>1.4工程实践对节点技术的现实需求</w:t>
      </w:r>
      <w:bookmarkEnd w:id="5"/>
    </w:p>
    <w:p w14:paraId="0E294DF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现场施工对节点连接技术有诸多限制。连接节点极限承载力不得小于被连接钢筋本身屈服承载力，施工上工序要符合吊装进度要求，减少现场等待时间，检测上隐蔽工程应具有可检测性，采用无损检测手段复核内部质量，成本上工艺方案不能使材料、检测投入过大</w:t>
      </w:r>
      <w:r>
        <w:rPr>
          <w:rFonts w:ascii="宋体" w:eastAsia="宋体" w:hAnsi="宋体" w:cs="宋体" w:hint="eastAsia"/>
          <w:color w:val="auto"/>
          <w:sz w:val="21"/>
          <w:szCs w:val="21"/>
          <w:highlight w:val="yellow"/>
          <w:vertAlign w:val="superscript"/>
          <w:lang w:val="en-US" w:eastAsia="zh-CN"/>
        </w:rPr>
        <w:t>[2]</w:t>
      </w:r>
      <w:r>
        <w:rPr>
          <w:rFonts w:ascii="宋体" w:eastAsia="宋体" w:hAnsi="宋体" w:cs="宋体" w:hint="eastAsia"/>
          <w:b w:val="0"/>
          <w:bCs/>
          <w:kern w:val="0"/>
          <w:sz w:val="21"/>
          <w:szCs w:val="21"/>
        </w:rPr>
        <w:t>。</w:t>
      </w:r>
    </w:p>
    <w:p w14:paraId="746B5CE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锚固安全储备越大，套筒长度越长，构件加工成本越高。工程应用要以计算的结果为基础，配合现场检测的数据，挑选安全和施工效率并重的方案。</w:t>
      </w:r>
    </w:p>
    <w:p w14:paraId="30405185">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ascii="宋体" w:eastAsia="宋体" w:hAnsi="宋体" w:cs="宋体" w:hint="eastAsia"/>
          <w:b w:val="0"/>
          <w:bCs/>
          <w:kern w:val="0"/>
          <w:sz w:val="21"/>
          <w:szCs w:val="21"/>
        </w:rPr>
      </w:pPr>
      <w:bookmarkStart w:id="6" w:name="heading_8"/>
      <w:r>
        <w:rPr>
          <w:rFonts w:ascii="宋体" w:eastAsia="宋体" w:hAnsi="宋体" w:cs="宋体" w:hint="eastAsia"/>
          <w:b w:val="0"/>
          <w:bCs/>
          <w:kern w:val="0"/>
          <w:sz w:val="21"/>
          <w:szCs w:val="21"/>
        </w:rPr>
        <w:t>2关键节点连接施工技术的应用实践</w:t>
      </w:r>
      <w:bookmarkEnd w:id="6"/>
    </w:p>
    <w:p w14:paraId="3AFCA252">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2"/>
        <w:rPr>
          <w:rFonts w:ascii="宋体" w:eastAsia="宋体" w:hAnsi="宋体" w:cs="宋体" w:hint="eastAsia"/>
          <w:b w:val="0"/>
          <w:bCs/>
          <w:kern w:val="0"/>
          <w:sz w:val="21"/>
          <w:szCs w:val="21"/>
        </w:rPr>
      </w:pPr>
      <w:bookmarkStart w:id="7" w:name="heading_9"/>
      <w:r>
        <w:rPr>
          <w:rFonts w:ascii="宋体" w:eastAsia="宋体" w:hAnsi="宋体" w:cs="宋体" w:hint="eastAsia"/>
          <w:b w:val="0"/>
          <w:bCs/>
          <w:kern w:val="0"/>
          <w:sz w:val="21"/>
          <w:szCs w:val="21"/>
        </w:rPr>
        <w:t>2.1套筒灌浆连接技术及工艺控制</w:t>
      </w:r>
      <w:bookmarkEnd w:id="7"/>
    </w:p>
    <w:p w14:paraId="64C8931B">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本项目使用半灌浆套筒连接竖向纵筋，套筒的一端和钢筋有螺纹，另一端灌浆料锚固钢筋。灌浆料进场时检查流动度、3d抗压强度和竖向膨胀率，拌制用水按产品说明书的要求进行配比，一次拌制的灌浆料总量不大于30min可以使用完毕的用量。</w:t>
      </w:r>
    </w:p>
    <w:p w14:paraId="6C94AE37">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灌浆作业从下注浆口加压灌浆，上排浆孔有连续的均匀浆料流出时封堵。灌浆作业环境温度控制在5～30℃，低温时做保温围挡。灌浆完成之后留置同条件养护试件做强度评定。</w:t>
      </w:r>
    </w:p>
    <w:p w14:paraId="00924B14">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2"/>
        <w:rPr>
          <w:rFonts w:ascii="宋体" w:eastAsia="宋体" w:hAnsi="宋体" w:cs="宋体" w:hint="eastAsia"/>
          <w:b w:val="0"/>
          <w:bCs/>
          <w:kern w:val="0"/>
          <w:sz w:val="21"/>
          <w:szCs w:val="21"/>
        </w:rPr>
      </w:pPr>
      <w:bookmarkStart w:id="8" w:name="heading_10"/>
    </w:p>
    <w:p w14:paraId="58DEED2B">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2"/>
        <w:rPr>
          <w:rFonts w:ascii="宋体" w:eastAsia="宋体" w:hAnsi="宋体" w:cs="宋体" w:hint="eastAsia"/>
          <w:b w:val="0"/>
          <w:bCs/>
          <w:kern w:val="0"/>
          <w:sz w:val="21"/>
          <w:szCs w:val="21"/>
        </w:rPr>
      </w:pPr>
    </w:p>
    <w:p w14:paraId="2A5AB417">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2"/>
        <w:rPr>
          <w:rFonts w:ascii="宋体" w:eastAsia="宋体" w:hAnsi="宋体" w:cs="宋体" w:hint="eastAsia"/>
          <w:b w:val="0"/>
          <w:bCs/>
          <w:kern w:val="0"/>
          <w:sz w:val="21"/>
          <w:szCs w:val="21"/>
        </w:rPr>
      </w:pPr>
      <w:bookmarkStart w:id="9" w:name="_GoBack"/>
      <w:bookmarkEnd w:id="9"/>
      <w:r>
        <w:rPr>
          <w:rFonts w:ascii="宋体" w:eastAsia="宋体" w:hAnsi="宋体" w:cs="宋体" w:hint="eastAsia"/>
          <w:b w:val="0"/>
          <w:bCs/>
          <w:kern w:val="0"/>
          <w:sz w:val="21"/>
          <w:szCs w:val="21"/>
        </w:rPr>
        <w:t>2.2钢筋机械连接与预留孔道处理</w:t>
      </w:r>
      <w:bookmarkEnd w:id="8"/>
    </w:p>
    <w:p w14:paraId="43D377F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预制梁纵筋为直螺纹机械连接，钢筋丝头加工完成之后要检查丝扣长度及外观，连接时用扭矩扳手控制拧紧力矩。构件预制阶段预留孔道用定型模，孔道中心偏差≤±3mm</w:t>
      </w:r>
      <w:r>
        <w:rPr>
          <w:rFonts w:ascii="宋体" w:eastAsia="宋体" w:hAnsi="宋体" w:cs="宋体" w:hint="eastAsia"/>
          <w:color w:val="auto"/>
          <w:sz w:val="21"/>
          <w:szCs w:val="21"/>
          <w:highlight w:val="yellow"/>
          <w:vertAlign w:val="superscript"/>
          <w:lang w:val="en-US" w:eastAsia="zh-CN"/>
        </w:rPr>
        <w:t>[3]</w:t>
      </w:r>
      <w:r>
        <w:rPr>
          <w:rFonts w:ascii="宋体" w:eastAsia="宋体" w:hAnsi="宋体" w:cs="宋体" w:hint="eastAsia"/>
          <w:b w:val="0"/>
          <w:bCs/>
          <w:kern w:val="0"/>
          <w:sz w:val="21"/>
          <w:szCs w:val="21"/>
        </w:rPr>
        <w:t>。</w:t>
      </w:r>
    </w:p>
    <w:p w14:paraId="4075DDD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p>
    <w:p w14:paraId="38E40CC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highlight w:val="yellow"/>
        </w:rPr>
        <w:t>接头抽检时破</w:t>
      </w:r>
      <w:r>
        <w:rPr>
          <w:rFonts w:ascii="宋体" w:eastAsia="宋体" w:hAnsi="宋体" w:cs="宋体" w:hint="eastAsia"/>
          <w:b w:val="0"/>
          <w:bCs/>
          <w:kern w:val="0"/>
          <w:sz w:val="21"/>
          <w:szCs w:val="21"/>
        </w:rPr>
        <w:t>坏位置应选在钢筋母材上而不是螺纹接头处来判定连接是否合格。</w:t>
      </w:r>
    </w:p>
    <w:p w14:paraId="77F879A1">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2"/>
        <w:rPr>
          <w:rFonts w:ascii="宋体" w:eastAsia="宋体" w:hAnsi="宋体" w:cs="宋体" w:hint="eastAsia"/>
          <w:b w:val="0"/>
          <w:bCs/>
          <w:kern w:val="0"/>
          <w:sz w:val="21"/>
          <w:szCs w:val="21"/>
        </w:rPr>
      </w:pPr>
      <w:bookmarkStart w:id="10" w:name="heading_11"/>
      <w:r>
        <w:rPr>
          <w:rFonts w:ascii="宋体" w:eastAsia="宋体" w:hAnsi="宋体" w:cs="宋体" w:hint="eastAsia"/>
          <w:b w:val="0"/>
          <w:bCs/>
          <w:kern w:val="0"/>
          <w:sz w:val="21"/>
          <w:szCs w:val="21"/>
        </w:rPr>
        <w:t>2.3叠合梁板节点连接施工工艺</w:t>
      </w:r>
      <w:bookmarkEnd w:id="10"/>
    </w:p>
    <w:p w14:paraId="41679C0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叠合梁板是用预制底板桁架钢筋、人工凿毛粗糙面、后浇混凝土组成的组合截面。预制板表面粗糙面凹凸深度不大于6mm，浇筑前清理浮渣、洒水润湿。梁柱节点处钢筋多而密，提前排布钢筋，留出振捣孔。</w:t>
      </w:r>
    </w:p>
    <w:p w14:paraId="7E3906F5">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支撑体系按照后浇层自重、施工活荷载进行验算，支撑间距≤1.2m，混凝土强度达到设计强度的75%以后方可拆除支撑。叠合板拼缝处设置加强钢筋，控制板缝收缩裂缝。浇筑振捣主要用小直径振捣棒，防止破坏已有的预制构件钢筋。</w:t>
      </w:r>
    </w:p>
    <w:p w14:paraId="1E27F6AA">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2"/>
        <w:rPr>
          <w:rFonts w:ascii="宋体" w:eastAsia="宋体" w:hAnsi="宋体" w:cs="宋体" w:hint="eastAsia"/>
          <w:b w:val="0"/>
          <w:bCs/>
          <w:kern w:val="0"/>
          <w:sz w:val="21"/>
          <w:szCs w:val="21"/>
        </w:rPr>
      </w:pPr>
      <w:bookmarkStart w:id="11" w:name="heading_12"/>
      <w:r>
        <w:rPr>
          <w:rFonts w:ascii="宋体" w:eastAsia="宋体" w:hAnsi="宋体" w:cs="宋体" w:hint="eastAsia"/>
          <w:b w:val="0"/>
          <w:bCs/>
          <w:kern w:val="0"/>
          <w:sz w:val="21"/>
          <w:szCs w:val="21"/>
        </w:rPr>
        <w:t>2.4预制墙板接缝连接处理技术</w:t>
      </w:r>
      <w:bookmarkEnd w:id="11"/>
    </w:p>
    <w:p w14:paraId="14F9329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预制墙板水平接缝设坐浆层，坐浆料厚度控制在20mm内，坐浆连续无断点，竖向接缝设连接钢筋，现浇混凝土形成连接键。外墙接缝外侧设止水密封胶，内侧填保温材料。</w:t>
      </w:r>
    </w:p>
    <w:p w14:paraId="0999CD3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接缝构造有传力和防水的作用，坐浆层空洞会造成局部应力集中</w:t>
      </w:r>
      <w:r>
        <w:rPr>
          <w:rFonts w:ascii="宋体" w:eastAsia="宋体" w:hAnsi="宋体" w:cs="宋体" w:hint="eastAsia"/>
          <w:color w:val="auto"/>
          <w:sz w:val="21"/>
          <w:szCs w:val="21"/>
          <w:highlight w:val="yellow"/>
          <w:vertAlign w:val="superscript"/>
          <w:lang w:val="en-US" w:eastAsia="zh-CN"/>
        </w:rPr>
        <w:t>[4]</w:t>
      </w:r>
      <w:r>
        <w:rPr>
          <w:rFonts w:ascii="宋体" w:eastAsia="宋体" w:hAnsi="宋体" w:cs="宋体" w:hint="eastAsia"/>
          <w:b w:val="0"/>
          <w:bCs/>
          <w:kern w:val="0"/>
          <w:sz w:val="21"/>
          <w:szCs w:val="21"/>
        </w:rPr>
        <w:t>。密封胶施工前先对需要施工的接缝基面进行打磨清理，控制注胶宽度和深度，固化前防止雨水冲刷及外力扰动。接缝完工后逐块检查，做好缺陷部位的标识工作，并尽快予以修补。水平接缝与竖直接缝构造做法及重点处理方法有所不同，如下表3所</w:t>
      </w:r>
      <w:r>
        <w:rPr>
          <w:rFonts w:ascii="宋体" w:eastAsia="宋体" w:hAnsi="宋体" w:cs="宋体" w:hint="eastAsia"/>
          <w:b w:val="0"/>
          <w:bCs/>
          <w:kern w:val="0"/>
          <w:sz w:val="21"/>
          <w:szCs w:val="21"/>
          <w:lang w:val="en-US" w:eastAsia="zh-CN"/>
        </w:rPr>
        <w:t>示</w:t>
      </w:r>
      <w:r>
        <w:rPr>
          <w:rFonts w:ascii="宋体" w:eastAsia="宋体" w:hAnsi="宋体" w:cs="宋体" w:hint="eastAsia"/>
          <w:b w:val="0"/>
          <w:bCs/>
          <w:kern w:val="0"/>
          <w:sz w:val="21"/>
          <w:szCs w:val="21"/>
        </w:rPr>
        <w:t>。</w:t>
      </w:r>
    </w:p>
    <w:p w14:paraId="6F1F7DF2">
      <w:pPr>
        <w:keepNext/>
        <w:keepLines w:val="0"/>
        <w:pageBreakBefore w:val="0"/>
        <w:widowControl w:val="0"/>
        <w:kinsoku/>
        <w:wordWrap/>
        <w:overflowPunct/>
        <w:topLinePunct w:val="0"/>
        <w:autoSpaceDE/>
        <w:autoSpaceDN/>
        <w:bidi w:val="0"/>
        <w:adjustRightInd/>
        <w:snapToGrid/>
        <w:spacing w:line="360" w:lineRule="auto"/>
        <w:ind w:left="0" w:firstLine="1050" w:firstLineChars="5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表</w:t>
      </w:r>
      <w:r>
        <w:rPr>
          <w:rFonts w:ascii="宋体" w:eastAsia="宋体" w:hAnsi="宋体" w:cs="宋体" w:hint="eastAsia"/>
          <w:b w:val="0"/>
          <w:bCs/>
          <w:kern w:val="0"/>
          <w:sz w:val="21"/>
          <w:szCs w:val="21"/>
          <w:lang w:val="en-US" w:eastAsia="zh-CN"/>
        </w:rPr>
        <w:t xml:space="preserve">3          </w:t>
      </w:r>
      <w:r>
        <w:rPr>
          <w:rFonts w:ascii="宋体" w:eastAsia="宋体" w:hAnsi="宋体" w:cs="宋体" w:hint="eastAsia"/>
          <w:b w:val="0"/>
          <w:bCs/>
          <w:kern w:val="0"/>
          <w:sz w:val="21"/>
          <w:szCs w:val="21"/>
        </w:rPr>
        <w:t>预制墙板接缝构造及管控要点对照</w:t>
      </w:r>
    </w:p>
    <w:tbl>
      <w:tblPr>
        <w:tblStyle w:val="TableNormal"/>
        <w:tblW w:w="85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
      <w:tblGrid>
        <w:gridCol w:w="1101"/>
        <w:gridCol w:w="2642"/>
        <w:gridCol w:w="2129"/>
        <w:gridCol w:w="2650"/>
      </w:tblGrid>
      <w:tr w14:paraId="425F71D1">
        <w:tblPrEx>
          <w:tblW w:w="85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Ex>
        <w:trPr>
          <w:trHeight w:hRule="auto" w:val="0"/>
          <w:tblHeader/>
          <w:jc w:val="center"/>
        </w:trPr>
        <w:tc>
          <w:tcPr>
            <w:tcW w:w="1101" w:type="dxa"/>
            <w:tcBorders>
              <w:top w:val="single" w:sz="12" w:space="0" w:color="CCCCCC"/>
              <w:left w:val="nil"/>
              <w:bottom w:val="nil"/>
              <w:right w:val="nil"/>
            </w:tcBorders>
            <w:shd w:val="clear" w:color="auto" w:fill="auto"/>
            <w:noWrap w:val="0"/>
            <w:tcMar>
              <w:top w:w="120" w:type="dxa"/>
              <w:left w:w="120" w:type="dxa"/>
              <w:bottom w:w="120" w:type="dxa"/>
              <w:right w:w="120" w:type="dxa"/>
            </w:tcMar>
            <w:vAlign w:val="center"/>
          </w:tcPr>
          <w:p w14:paraId="3492116D">
            <w:pPr>
              <w:keepNext/>
              <w:keepLines w:val="0"/>
              <w:widowControl/>
              <w:suppressLineNumbers w:val="0"/>
              <w:snapToGrid w:val="0"/>
              <w:ind w:left="0" w:right="0" w:firstLine="0" w:leftChars="0" w:rightChars="0" w:firstLineChars="0"/>
              <w:jc w:val="center"/>
              <w:rPr>
                <w:rFonts w:ascii="宋体" w:eastAsia="宋体" w:hAnsi="宋体" w:cs="宋体" w:hint="eastAsia"/>
                <w:b/>
                <w:bCs w:val="0"/>
                <w:sz w:val="21"/>
                <w:szCs w:val="21"/>
              </w:rPr>
            </w:pPr>
            <w:r>
              <w:rPr>
                <w:rFonts w:ascii="宋体" w:eastAsia="宋体" w:hAnsi="宋体" w:cs="宋体" w:hint="eastAsia"/>
                <w:b/>
                <w:bCs w:val="0"/>
                <w:kern w:val="0"/>
                <w:sz w:val="21"/>
                <w:szCs w:val="21"/>
                <w:lang w:val="en-US" w:eastAsia="zh-CN" w:bidi="ar"/>
              </w:rPr>
              <w:t>接缝类型</w:t>
            </w:r>
          </w:p>
        </w:tc>
        <w:tc>
          <w:tcPr>
            <w:tcW w:w="2642" w:type="dxa"/>
            <w:tcBorders>
              <w:top w:val="single" w:sz="12" w:space="0" w:color="CCCCCC"/>
              <w:left w:val="nil"/>
              <w:bottom w:val="nil"/>
              <w:right w:val="nil"/>
            </w:tcBorders>
            <w:shd w:val="clear" w:color="auto" w:fill="auto"/>
            <w:noWrap w:val="0"/>
            <w:tcMar>
              <w:top w:w="120" w:type="dxa"/>
              <w:left w:w="120" w:type="dxa"/>
              <w:bottom w:w="120" w:type="dxa"/>
              <w:right w:w="120" w:type="dxa"/>
            </w:tcMar>
            <w:vAlign w:val="center"/>
          </w:tcPr>
          <w:p w14:paraId="7509AE9C">
            <w:pPr>
              <w:keepNext/>
              <w:keepLines w:val="0"/>
              <w:widowControl/>
              <w:suppressLineNumbers w:val="0"/>
              <w:snapToGrid w:val="0"/>
              <w:ind w:left="0" w:right="0" w:firstLine="0" w:leftChars="0" w:rightChars="0" w:firstLineChars="0"/>
              <w:jc w:val="center"/>
              <w:rPr>
                <w:rFonts w:ascii="宋体" w:eastAsia="宋体" w:hAnsi="宋体" w:cs="宋体" w:hint="eastAsia"/>
                <w:b/>
                <w:bCs w:val="0"/>
                <w:sz w:val="21"/>
                <w:szCs w:val="21"/>
              </w:rPr>
            </w:pPr>
            <w:r>
              <w:rPr>
                <w:rFonts w:ascii="宋体" w:eastAsia="宋体" w:hAnsi="宋体" w:cs="宋体" w:hint="eastAsia"/>
                <w:b/>
                <w:bCs w:val="0"/>
                <w:kern w:val="0"/>
                <w:sz w:val="21"/>
                <w:szCs w:val="21"/>
                <w:lang w:val="en-US" w:eastAsia="zh-CN" w:bidi="ar"/>
              </w:rPr>
              <w:t>构造做法</w:t>
            </w:r>
          </w:p>
        </w:tc>
        <w:tc>
          <w:tcPr>
            <w:tcW w:w="2129" w:type="dxa"/>
            <w:tcBorders>
              <w:top w:val="single" w:sz="12" w:space="0" w:color="CCCCCC"/>
              <w:left w:val="nil"/>
              <w:bottom w:val="nil"/>
              <w:right w:val="nil"/>
            </w:tcBorders>
            <w:shd w:val="clear" w:color="auto" w:fill="auto"/>
            <w:noWrap w:val="0"/>
            <w:tcMar>
              <w:top w:w="120" w:type="dxa"/>
              <w:left w:w="120" w:type="dxa"/>
              <w:bottom w:w="120" w:type="dxa"/>
              <w:right w:w="120" w:type="dxa"/>
            </w:tcMar>
            <w:vAlign w:val="center"/>
          </w:tcPr>
          <w:p w14:paraId="51A28806">
            <w:pPr>
              <w:keepNext/>
              <w:keepLines w:val="0"/>
              <w:widowControl/>
              <w:suppressLineNumbers w:val="0"/>
              <w:snapToGrid w:val="0"/>
              <w:ind w:left="0" w:right="0" w:firstLine="0" w:leftChars="0" w:rightChars="0" w:firstLineChars="0"/>
              <w:jc w:val="center"/>
              <w:rPr>
                <w:rFonts w:ascii="宋体" w:eastAsia="宋体" w:hAnsi="宋体" w:cs="宋体" w:hint="eastAsia"/>
                <w:b/>
                <w:bCs w:val="0"/>
                <w:sz w:val="21"/>
                <w:szCs w:val="21"/>
              </w:rPr>
            </w:pPr>
            <w:r>
              <w:rPr>
                <w:rFonts w:ascii="宋体" w:eastAsia="宋体" w:hAnsi="宋体" w:cs="宋体" w:hint="eastAsia"/>
                <w:b/>
                <w:bCs w:val="0"/>
                <w:kern w:val="0"/>
                <w:sz w:val="21"/>
                <w:szCs w:val="21"/>
                <w:lang w:val="en-US" w:eastAsia="zh-CN" w:bidi="ar"/>
              </w:rPr>
              <w:t>主要功能</w:t>
            </w:r>
          </w:p>
        </w:tc>
        <w:tc>
          <w:tcPr>
            <w:tcW w:w="2650" w:type="dxa"/>
            <w:tcBorders>
              <w:top w:val="single" w:sz="12" w:space="0" w:color="CCCCCC"/>
              <w:left w:val="nil"/>
              <w:bottom w:val="nil"/>
              <w:right w:val="nil"/>
            </w:tcBorders>
            <w:shd w:val="clear" w:color="auto" w:fill="auto"/>
            <w:noWrap w:val="0"/>
            <w:tcMar>
              <w:top w:w="120" w:type="dxa"/>
              <w:left w:w="120" w:type="dxa"/>
              <w:bottom w:w="120" w:type="dxa"/>
              <w:right w:w="120" w:type="dxa"/>
            </w:tcMar>
            <w:vAlign w:val="center"/>
          </w:tcPr>
          <w:p w14:paraId="1CDD1117">
            <w:pPr>
              <w:keepNext/>
              <w:keepLines w:val="0"/>
              <w:widowControl/>
              <w:suppressLineNumbers w:val="0"/>
              <w:snapToGrid w:val="0"/>
              <w:ind w:left="0" w:right="0" w:firstLine="0" w:leftChars="0" w:rightChars="0" w:firstLineChars="0"/>
              <w:jc w:val="center"/>
              <w:rPr>
                <w:rFonts w:ascii="宋体" w:eastAsia="宋体" w:hAnsi="宋体" w:cs="宋体" w:hint="eastAsia"/>
                <w:b/>
                <w:bCs w:val="0"/>
                <w:sz w:val="21"/>
                <w:szCs w:val="21"/>
              </w:rPr>
            </w:pPr>
            <w:r>
              <w:rPr>
                <w:rFonts w:ascii="宋体" w:eastAsia="宋体" w:hAnsi="宋体" w:cs="宋体" w:hint="eastAsia"/>
                <w:b/>
                <w:bCs w:val="0"/>
                <w:kern w:val="0"/>
                <w:sz w:val="21"/>
                <w:szCs w:val="21"/>
                <w:lang w:val="en-US" w:eastAsia="zh-CN" w:bidi="ar"/>
              </w:rPr>
              <w:t>质量控制要点</w:t>
            </w:r>
          </w:p>
        </w:tc>
      </w:tr>
      <w:tr w14:paraId="0DF63C4F">
        <w:tblPrEx>
          <w:tblW w:w="8522" w:type="dxa"/>
          <w:jc w:val="center"/>
          <w:shd w:val="clear" w:color="auto" w:fill="auto"/>
          <w:tblCellMar>
            <w:top w:w="15" w:type="dxa"/>
            <w:left w:w="15" w:type="dxa"/>
            <w:bottom w:w="15" w:type="dxa"/>
            <w:right w:w="15" w:type="dxa"/>
          </w:tblCellMar>
        </w:tblPrEx>
        <w:trPr>
          <w:trHeight w:hRule="auto" w:val="0"/>
          <w:jc w:val="center"/>
        </w:trPr>
        <w:tc>
          <w:tcPr>
            <w:tcW w:w="1101" w:type="dxa"/>
            <w:tcBorders>
              <w:top w:val="single" w:sz="4" w:space="0" w:color="CCCCCC"/>
              <w:left w:val="nil"/>
              <w:bottom w:val="nil"/>
              <w:right w:val="nil"/>
            </w:tcBorders>
            <w:shd w:val="clear" w:color="auto" w:fill="auto"/>
            <w:noWrap w:val="0"/>
            <w:tcMar>
              <w:top w:w="120" w:type="dxa"/>
              <w:left w:w="120" w:type="dxa"/>
              <w:bottom w:w="120" w:type="dxa"/>
              <w:right w:w="120" w:type="dxa"/>
            </w:tcMar>
            <w:vAlign w:val="center"/>
          </w:tcPr>
          <w:p w14:paraId="18EC2BA2">
            <w:pPr>
              <w:keepNext/>
              <w:keepLines w:val="0"/>
              <w:widowControl/>
              <w:suppressLineNumbers w:val="0"/>
              <w:snapToGrid w:val="0"/>
              <w:ind w:left="0" w:right="0" w:firstLine="0" w:leftChars="0" w:rightChars="0" w:firstLineChars="0"/>
              <w:jc w:val="center"/>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水平接缝</w:t>
            </w:r>
          </w:p>
        </w:tc>
        <w:tc>
          <w:tcPr>
            <w:tcW w:w="2642" w:type="dxa"/>
            <w:tcBorders>
              <w:top w:val="single" w:sz="4" w:space="0" w:color="CCCCCC"/>
              <w:left w:val="nil"/>
              <w:bottom w:val="nil"/>
              <w:right w:val="nil"/>
            </w:tcBorders>
            <w:shd w:val="clear" w:color="auto" w:fill="auto"/>
            <w:noWrap w:val="0"/>
            <w:tcMar>
              <w:top w:w="120" w:type="dxa"/>
              <w:left w:w="120" w:type="dxa"/>
              <w:bottom w:w="120" w:type="dxa"/>
              <w:right w:w="120" w:type="dxa"/>
            </w:tcMar>
            <w:vAlign w:val="center"/>
          </w:tcPr>
          <w:p w14:paraId="5AE2383F">
            <w:pPr>
              <w:keepNext/>
              <w:keepLines w:val="0"/>
              <w:widowControl/>
              <w:suppressLineNumbers w:val="0"/>
              <w:snapToGrid w:val="0"/>
              <w:ind w:left="0" w:right="0" w:firstLine="0" w:leftChars="0" w:rightChars="0" w:firstLineChars="0"/>
              <w:jc w:val="center"/>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坐浆层＋竖向连接钢筋套筒灌浆</w:t>
            </w:r>
          </w:p>
        </w:tc>
        <w:tc>
          <w:tcPr>
            <w:tcW w:w="2129" w:type="dxa"/>
            <w:tcBorders>
              <w:top w:val="single" w:sz="4" w:space="0" w:color="CCCCCC"/>
              <w:left w:val="nil"/>
              <w:bottom w:val="nil"/>
              <w:right w:val="nil"/>
            </w:tcBorders>
            <w:shd w:val="clear" w:color="auto" w:fill="auto"/>
            <w:noWrap w:val="0"/>
            <w:tcMar>
              <w:top w:w="120" w:type="dxa"/>
              <w:left w:w="120" w:type="dxa"/>
              <w:bottom w:w="120" w:type="dxa"/>
              <w:right w:w="120" w:type="dxa"/>
            </w:tcMar>
            <w:vAlign w:val="center"/>
          </w:tcPr>
          <w:p w14:paraId="6F97C44A">
            <w:pPr>
              <w:keepNext/>
              <w:keepLines w:val="0"/>
              <w:widowControl/>
              <w:suppressLineNumbers w:val="0"/>
              <w:snapToGrid w:val="0"/>
              <w:ind w:left="0" w:right="0" w:firstLine="0" w:leftChars="0" w:rightChars="0" w:firstLineChars="0"/>
              <w:jc w:val="left"/>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传递竖向力、保持墙体整体</w:t>
            </w:r>
          </w:p>
        </w:tc>
        <w:tc>
          <w:tcPr>
            <w:tcW w:w="2650" w:type="dxa"/>
            <w:tcBorders>
              <w:top w:val="single" w:sz="4" w:space="0" w:color="CCCCCC"/>
              <w:left w:val="nil"/>
              <w:bottom w:val="nil"/>
              <w:right w:val="nil"/>
            </w:tcBorders>
            <w:shd w:val="clear" w:color="auto" w:fill="auto"/>
            <w:noWrap w:val="0"/>
            <w:tcMar>
              <w:top w:w="120" w:type="dxa"/>
              <w:left w:w="120" w:type="dxa"/>
              <w:bottom w:w="120" w:type="dxa"/>
              <w:right w:w="120" w:type="dxa"/>
            </w:tcMar>
            <w:vAlign w:val="center"/>
          </w:tcPr>
          <w:p w14:paraId="7AAA81BE">
            <w:pPr>
              <w:keepNext/>
              <w:keepLines w:val="0"/>
              <w:widowControl/>
              <w:suppressLineNumbers w:val="0"/>
              <w:snapToGrid w:val="0"/>
              <w:ind w:left="0" w:right="0" w:firstLine="0" w:leftChars="0" w:rightChars="0" w:firstLineChars="0"/>
              <w:jc w:val="center"/>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坐浆厚度均匀连续、套筒灌浆充盈</w:t>
            </w:r>
          </w:p>
        </w:tc>
      </w:tr>
      <w:tr w14:paraId="062C0FC3">
        <w:tblPrEx>
          <w:tblW w:w="8522" w:type="dxa"/>
          <w:jc w:val="center"/>
          <w:shd w:val="clear" w:color="auto" w:fill="auto"/>
          <w:tblCellMar>
            <w:top w:w="15" w:type="dxa"/>
            <w:left w:w="15" w:type="dxa"/>
            <w:bottom w:w="15" w:type="dxa"/>
            <w:right w:w="15" w:type="dxa"/>
          </w:tblCellMar>
        </w:tblPrEx>
        <w:trPr>
          <w:trHeight w:hRule="auto" w:val="0"/>
          <w:jc w:val="center"/>
        </w:trPr>
        <w:tc>
          <w:tcPr>
            <w:tcW w:w="1101" w:type="dxa"/>
            <w:tcBorders>
              <w:top w:val="nil"/>
              <w:left w:val="nil"/>
              <w:bottom w:val="nil"/>
              <w:right w:val="nil"/>
            </w:tcBorders>
            <w:shd w:val="clear" w:color="auto" w:fill="auto"/>
            <w:noWrap w:val="0"/>
            <w:tcMar>
              <w:top w:w="120" w:type="dxa"/>
              <w:left w:w="120" w:type="dxa"/>
              <w:bottom w:w="120" w:type="dxa"/>
              <w:right w:w="120" w:type="dxa"/>
            </w:tcMar>
            <w:vAlign w:val="center"/>
          </w:tcPr>
          <w:p w14:paraId="4AE836D1">
            <w:pPr>
              <w:keepNext/>
              <w:keepLines w:val="0"/>
              <w:widowControl/>
              <w:suppressLineNumbers w:val="0"/>
              <w:snapToGrid w:val="0"/>
              <w:ind w:left="0" w:right="0" w:firstLine="0" w:leftChars="0" w:rightChars="0" w:firstLineChars="0"/>
              <w:jc w:val="center"/>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竖直接缝</w:t>
            </w:r>
          </w:p>
        </w:tc>
        <w:tc>
          <w:tcPr>
            <w:tcW w:w="2642" w:type="dxa"/>
            <w:tcBorders>
              <w:top w:val="nil"/>
              <w:left w:val="nil"/>
              <w:bottom w:val="nil"/>
              <w:right w:val="nil"/>
            </w:tcBorders>
            <w:shd w:val="clear" w:color="auto" w:fill="auto"/>
            <w:noWrap w:val="0"/>
            <w:tcMar>
              <w:top w:w="120" w:type="dxa"/>
              <w:left w:w="120" w:type="dxa"/>
              <w:bottom w:w="120" w:type="dxa"/>
              <w:right w:w="120" w:type="dxa"/>
            </w:tcMar>
            <w:vAlign w:val="center"/>
          </w:tcPr>
          <w:p w14:paraId="70E58B42">
            <w:pPr>
              <w:keepNext/>
              <w:keepLines w:val="0"/>
              <w:widowControl/>
              <w:suppressLineNumbers w:val="0"/>
              <w:snapToGrid w:val="0"/>
              <w:ind w:left="0" w:right="0" w:firstLine="0" w:leftChars="0" w:rightChars="0" w:firstLineChars="0"/>
              <w:jc w:val="center"/>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连接钢筋＋现浇混凝土连接键</w:t>
            </w:r>
          </w:p>
        </w:tc>
        <w:tc>
          <w:tcPr>
            <w:tcW w:w="2129" w:type="dxa"/>
            <w:tcBorders>
              <w:top w:val="nil"/>
              <w:left w:val="nil"/>
              <w:bottom w:val="nil"/>
              <w:right w:val="nil"/>
            </w:tcBorders>
            <w:shd w:val="clear" w:color="auto" w:fill="auto"/>
            <w:noWrap w:val="0"/>
            <w:tcMar>
              <w:top w:w="120" w:type="dxa"/>
              <w:left w:w="120" w:type="dxa"/>
              <w:bottom w:w="120" w:type="dxa"/>
              <w:right w:w="120" w:type="dxa"/>
            </w:tcMar>
            <w:vAlign w:val="center"/>
          </w:tcPr>
          <w:p w14:paraId="609E4A28">
            <w:pPr>
              <w:keepNext/>
              <w:keepLines w:val="0"/>
              <w:widowControl/>
              <w:suppressLineNumbers w:val="0"/>
              <w:snapToGrid w:val="0"/>
              <w:ind w:left="0" w:right="0" w:firstLine="0" w:leftChars="0" w:rightChars="0" w:firstLineChars="0"/>
              <w:jc w:val="left"/>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相邻墙板协同受力</w:t>
            </w:r>
          </w:p>
        </w:tc>
        <w:tc>
          <w:tcPr>
            <w:tcW w:w="2650" w:type="dxa"/>
            <w:tcBorders>
              <w:top w:val="nil"/>
              <w:left w:val="nil"/>
              <w:bottom w:val="nil"/>
              <w:right w:val="nil"/>
            </w:tcBorders>
            <w:shd w:val="clear" w:color="auto" w:fill="auto"/>
            <w:noWrap w:val="0"/>
            <w:tcMar>
              <w:top w:w="120" w:type="dxa"/>
              <w:left w:w="120" w:type="dxa"/>
              <w:bottom w:w="120" w:type="dxa"/>
              <w:right w:w="120" w:type="dxa"/>
            </w:tcMar>
            <w:vAlign w:val="center"/>
          </w:tcPr>
          <w:p w14:paraId="036622FF">
            <w:pPr>
              <w:keepNext/>
              <w:keepLines w:val="0"/>
              <w:widowControl/>
              <w:suppressLineNumbers w:val="0"/>
              <w:snapToGrid w:val="0"/>
              <w:ind w:left="0" w:right="0" w:firstLine="0" w:leftChars="0" w:rightChars="0" w:firstLineChars="0"/>
              <w:jc w:val="center"/>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混凝土浇筑密实、连接钢筋定位</w:t>
            </w:r>
          </w:p>
        </w:tc>
      </w:tr>
      <w:tr w14:paraId="17FEA143">
        <w:tblPrEx>
          <w:tblW w:w="8522" w:type="dxa"/>
          <w:jc w:val="center"/>
          <w:shd w:val="clear" w:color="auto" w:fill="auto"/>
          <w:tblCellMar>
            <w:top w:w="15" w:type="dxa"/>
            <w:left w:w="15" w:type="dxa"/>
            <w:bottom w:w="15" w:type="dxa"/>
            <w:right w:w="15" w:type="dxa"/>
          </w:tblCellMar>
        </w:tblPrEx>
        <w:trPr>
          <w:trHeight w:hRule="auto" w:val="0"/>
          <w:jc w:val="center"/>
        </w:trPr>
        <w:tc>
          <w:tcPr>
            <w:tcW w:w="1101" w:type="dxa"/>
            <w:tcBorders>
              <w:top w:val="nil"/>
              <w:left w:val="nil"/>
              <w:bottom w:val="single" w:sz="12" w:space="0" w:color="CCCCCC"/>
              <w:right w:val="nil"/>
            </w:tcBorders>
            <w:shd w:val="clear" w:color="auto" w:fill="auto"/>
            <w:noWrap w:val="0"/>
            <w:tcMar>
              <w:top w:w="120" w:type="dxa"/>
              <w:left w:w="120" w:type="dxa"/>
              <w:bottom w:w="120" w:type="dxa"/>
              <w:right w:w="120" w:type="dxa"/>
            </w:tcMar>
            <w:vAlign w:val="center"/>
          </w:tcPr>
          <w:p w14:paraId="72C5C2C1">
            <w:pPr>
              <w:keepNext/>
              <w:keepLines w:val="0"/>
              <w:widowControl/>
              <w:suppressLineNumbers w:val="0"/>
              <w:snapToGrid w:val="0"/>
              <w:ind w:left="0" w:right="0" w:firstLine="0" w:leftChars="0" w:rightChars="0" w:firstLineChars="0"/>
              <w:jc w:val="center"/>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防水构造</w:t>
            </w:r>
          </w:p>
        </w:tc>
        <w:tc>
          <w:tcPr>
            <w:tcW w:w="2642" w:type="dxa"/>
            <w:tcBorders>
              <w:top w:val="nil"/>
              <w:left w:val="nil"/>
              <w:bottom w:val="single" w:sz="12" w:space="0" w:color="CCCCCC"/>
              <w:right w:val="nil"/>
            </w:tcBorders>
            <w:shd w:val="clear" w:color="auto" w:fill="auto"/>
            <w:noWrap w:val="0"/>
            <w:tcMar>
              <w:top w:w="120" w:type="dxa"/>
              <w:left w:w="120" w:type="dxa"/>
              <w:bottom w:w="120" w:type="dxa"/>
              <w:right w:w="120" w:type="dxa"/>
            </w:tcMar>
            <w:vAlign w:val="center"/>
          </w:tcPr>
          <w:p w14:paraId="1609D6CA">
            <w:pPr>
              <w:keepNext/>
              <w:keepLines w:val="0"/>
              <w:widowControl/>
              <w:suppressLineNumbers w:val="0"/>
              <w:snapToGrid w:val="0"/>
              <w:ind w:left="0" w:right="0" w:firstLine="0" w:leftChars="0" w:rightChars="0" w:firstLineChars="0"/>
              <w:jc w:val="center"/>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外侧密封胶、止水条、内侧保温材料</w:t>
            </w:r>
          </w:p>
        </w:tc>
        <w:tc>
          <w:tcPr>
            <w:tcW w:w="2129" w:type="dxa"/>
            <w:tcBorders>
              <w:top w:val="nil"/>
              <w:left w:val="nil"/>
              <w:bottom w:val="single" w:sz="12" w:space="0" w:color="CCCCCC"/>
              <w:right w:val="nil"/>
            </w:tcBorders>
            <w:shd w:val="clear" w:color="auto" w:fill="auto"/>
            <w:noWrap w:val="0"/>
            <w:tcMar>
              <w:top w:w="120" w:type="dxa"/>
              <w:left w:w="120" w:type="dxa"/>
              <w:bottom w:w="120" w:type="dxa"/>
              <w:right w:w="120" w:type="dxa"/>
            </w:tcMar>
            <w:vAlign w:val="center"/>
          </w:tcPr>
          <w:p w14:paraId="621E2F37">
            <w:pPr>
              <w:keepNext/>
              <w:keepLines w:val="0"/>
              <w:widowControl/>
              <w:suppressLineNumbers w:val="0"/>
              <w:snapToGrid w:val="0"/>
              <w:ind w:left="0" w:right="0" w:firstLine="0" w:leftChars="0" w:rightChars="0" w:firstLineChars="0"/>
              <w:jc w:val="left"/>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防止雨水渗漏、兼顾保温</w:t>
            </w:r>
          </w:p>
        </w:tc>
        <w:tc>
          <w:tcPr>
            <w:tcW w:w="2650" w:type="dxa"/>
            <w:tcBorders>
              <w:top w:val="nil"/>
              <w:left w:val="nil"/>
              <w:bottom w:val="single" w:sz="12" w:space="0" w:color="CCCCCC"/>
              <w:right w:val="nil"/>
            </w:tcBorders>
            <w:shd w:val="clear" w:color="auto" w:fill="auto"/>
            <w:noWrap w:val="0"/>
            <w:tcMar>
              <w:top w:w="120" w:type="dxa"/>
              <w:left w:w="120" w:type="dxa"/>
              <w:bottom w:w="120" w:type="dxa"/>
              <w:right w:w="120" w:type="dxa"/>
            </w:tcMar>
            <w:vAlign w:val="center"/>
          </w:tcPr>
          <w:p w14:paraId="63ADA8BF">
            <w:pPr>
              <w:keepNext/>
              <w:keepLines w:val="0"/>
              <w:widowControl/>
              <w:suppressLineNumbers w:val="0"/>
              <w:snapToGrid w:val="0"/>
              <w:ind w:left="0" w:right="0" w:firstLine="0" w:leftChars="0" w:rightChars="0" w:firstLineChars="0"/>
              <w:jc w:val="center"/>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基面清理、注胶宽度深度、固化养护</w:t>
            </w:r>
          </w:p>
        </w:tc>
      </w:tr>
    </w:tbl>
    <w:p w14:paraId="29D68CFC">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ascii="宋体" w:eastAsia="宋体" w:hAnsi="宋体" w:cs="宋体" w:hint="eastAsia"/>
          <w:b w:val="0"/>
          <w:bCs/>
          <w:kern w:val="0"/>
          <w:sz w:val="21"/>
          <w:szCs w:val="21"/>
        </w:rPr>
      </w:pPr>
      <w:bookmarkStart w:id="12" w:name="heading_13"/>
      <w:r>
        <w:rPr>
          <w:rFonts w:ascii="宋体" w:eastAsia="宋体" w:hAnsi="宋体" w:cs="宋体" w:hint="eastAsia"/>
          <w:b w:val="0"/>
          <w:bCs/>
          <w:kern w:val="0"/>
          <w:sz w:val="21"/>
          <w:szCs w:val="21"/>
        </w:rPr>
        <w:t>3节点连接质量控制与工程实例成效分析</w:t>
      </w:r>
      <w:bookmarkEnd w:id="12"/>
    </w:p>
    <w:p w14:paraId="6436610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lang w:val="en-US" w:eastAsia="zh-CN"/>
        </w:rPr>
        <w:t>对</w:t>
      </w:r>
      <w:r>
        <w:rPr>
          <w:rFonts w:ascii="宋体" w:eastAsia="宋体" w:hAnsi="宋体" w:cs="宋体" w:hint="eastAsia"/>
          <w:b w:val="0"/>
          <w:bCs/>
          <w:kern w:val="0"/>
          <w:sz w:val="21"/>
          <w:szCs w:val="21"/>
        </w:rPr>
        <w:t>某18层装配式剪力墙住宅楼项目进行分析，项目总建筑面积为21460m²，竖向构件使用套筒灌浆连接，楼板为预制叠合板，外墙为预制夹心保温墙板。项目共使用预制剪力墙1326块，预制叠合板2842块，施工周期为14个月。</w:t>
      </w:r>
    </w:p>
    <w:p w14:paraId="19E378DA">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2"/>
        <w:rPr>
          <w:rFonts w:ascii="宋体" w:eastAsia="宋体" w:hAnsi="宋体" w:cs="宋体" w:hint="eastAsia"/>
          <w:b w:val="0"/>
          <w:bCs/>
          <w:kern w:val="0"/>
          <w:sz w:val="21"/>
          <w:szCs w:val="21"/>
        </w:rPr>
      </w:pPr>
      <w:bookmarkStart w:id="13" w:name="heading_14"/>
      <w:r>
        <w:rPr>
          <w:rFonts w:ascii="宋体" w:eastAsia="宋体" w:hAnsi="宋体" w:cs="宋体" w:hint="eastAsia"/>
          <w:b w:val="0"/>
          <w:bCs/>
          <w:kern w:val="0"/>
          <w:sz w:val="21"/>
          <w:szCs w:val="21"/>
        </w:rPr>
        <w:t>3.1灌浆密实度检测与质量验收要点</w:t>
      </w:r>
      <w:bookmarkEnd w:id="13"/>
    </w:p>
    <w:p w14:paraId="10C65F44">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本项目套筒灌浆采用预埋钢丝拉拔法与出浆旁站记录相结合进行质量检查。灌浆料试块强度每500个套筒一个批次进行抽检，密实度检测每批次抽取</w:t>
      </w:r>
      <w:r>
        <w:rPr>
          <w:rFonts w:ascii="宋体" w:eastAsia="宋体" w:hAnsi="宋体" w:cs="宋体" w:hint="eastAsia"/>
          <w:color w:val="auto"/>
          <w:sz w:val="21"/>
          <w:szCs w:val="21"/>
          <w:highlight w:val="yellow"/>
          <w:vertAlign w:val="superscript"/>
          <w:lang w:val="en-US" w:eastAsia="zh-CN"/>
        </w:rPr>
        <w:t>[5]</w:t>
      </w:r>
      <w:r>
        <w:rPr>
          <w:rFonts w:ascii="宋体" w:eastAsia="宋体" w:hAnsi="宋体" w:cs="宋体" w:hint="eastAsia"/>
          <w:b w:val="0"/>
          <w:bCs/>
          <w:kern w:val="0"/>
          <w:sz w:val="21"/>
          <w:szCs w:val="21"/>
        </w:rPr>
        <w:t>。</w:t>
      </w:r>
    </w:p>
    <w:p w14:paraId="4A8EB8D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验收分三步走，第一部分为资料核对，第二部分为外观检查，第三部分为实体检测，资料包含套筒合格证，灌浆料检测报告，灌浆旁站记录，养护记录。实体检测不合格的套筒采用钻孔补浆或者返工来处理。</w:t>
      </w:r>
    </w:p>
    <w:p w14:paraId="2480D91F">
      <w:pPr>
        <w:keepNext w:val="0"/>
        <w:keepLines w:val="0"/>
        <w:pageBreakBefore w:val="0"/>
        <w:widowControl w:val="0"/>
        <w:kinsoku/>
        <w:wordWrap/>
        <w:overflowPunct/>
        <w:topLinePunct w:val="0"/>
        <w:autoSpaceDE/>
        <w:autoSpaceDN/>
        <w:bidi w:val="0"/>
        <w:adjustRightInd/>
        <w:snapToGrid/>
        <w:spacing w:line="360" w:lineRule="auto"/>
        <w:ind w:left="0" w:firstLine="1470" w:firstLineChars="7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表</w:t>
      </w:r>
      <w:r>
        <w:rPr>
          <w:rFonts w:ascii="宋体" w:eastAsia="宋体" w:hAnsi="宋体" w:cs="宋体" w:hint="eastAsia"/>
          <w:b w:val="0"/>
          <w:bCs/>
          <w:kern w:val="0"/>
          <w:sz w:val="21"/>
          <w:szCs w:val="21"/>
          <w:lang w:val="en-US" w:eastAsia="zh-CN"/>
        </w:rPr>
        <w:t xml:space="preserve">4          </w:t>
      </w:r>
      <w:r>
        <w:rPr>
          <w:rFonts w:ascii="宋体" w:eastAsia="宋体" w:hAnsi="宋体" w:cs="宋体" w:hint="eastAsia"/>
          <w:b w:val="0"/>
          <w:bCs/>
          <w:kern w:val="0"/>
          <w:sz w:val="21"/>
          <w:szCs w:val="21"/>
        </w:rPr>
        <w:t>套筒灌浆检测指标控制限值</w:t>
      </w:r>
    </w:p>
    <w:tbl>
      <w:tblPr>
        <w:tblStyle w:val="TableNormal"/>
        <w:tblW w:w="8522" w:type="dxa"/>
        <w:jc w:val="center"/>
        <w:tblBorders>
          <w:top w:val="nil"/>
          <w:left w:val="nil"/>
          <w:bottom w:val="nil"/>
          <w:right w:val="nil"/>
          <w:insideH w:val="nil"/>
          <w:insideV w:val="nil"/>
        </w:tblBorders>
        <w:tblCellMar>
          <w:top w:w="0" w:type="dxa"/>
          <w:left w:w="10" w:type="dxa"/>
          <w:bottom w:w="0" w:type="dxa"/>
          <w:right w:w="10" w:type="dxa"/>
        </w:tblCellMar>
      </w:tblPr>
      <w:tblGrid>
        <w:gridCol w:w="2440"/>
        <w:gridCol w:w="2756"/>
        <w:gridCol w:w="3326"/>
      </w:tblGrid>
      <w:tr w14:paraId="31F42686">
        <w:tblPrEx>
          <w:tblW w:w="8522" w:type="dxa"/>
          <w:jc w:val="center"/>
          <w:tblBorders>
            <w:top w:val="nil"/>
            <w:left w:val="nil"/>
            <w:bottom w:val="nil"/>
            <w:right w:val="nil"/>
            <w:insideH w:val="nil"/>
            <w:insideV w:val="nil"/>
          </w:tblBorders>
          <w:tblCellMar>
            <w:top w:w="0" w:type="dxa"/>
            <w:left w:w="10" w:type="dxa"/>
            <w:bottom w:w="0" w:type="dxa"/>
            <w:right w:w="10" w:type="dxa"/>
          </w:tblCellMar>
        </w:tblPrEx>
        <w:trPr>
          <w:trHeight w:hRule="auto" w:val="0"/>
          <w:tblHeader/>
          <w:jc w:val="center"/>
        </w:trPr>
        <w:tc>
          <w:tcPr>
            <w:tcW w:w="2440" w:type="dxa"/>
            <w:tcBorders>
              <w:top w:val="single" w:sz="12" w:space="0" w:color="auto"/>
              <w:left w:val="nil"/>
              <w:bottom w:val="nil"/>
              <w:right w:val="nil"/>
            </w:tcBorders>
            <w:noWrap w:val="0"/>
            <w:tcMar>
              <w:top w:w="60" w:type="dxa"/>
              <w:left w:w="120" w:type="dxa"/>
              <w:bottom w:w="30" w:type="dxa"/>
              <w:right w:w="120" w:type="dxa"/>
            </w:tcMar>
            <w:vAlign w:val="center"/>
          </w:tcPr>
          <w:p w14:paraId="6E51B459">
            <w:pPr>
              <w:keepNext w:val="0"/>
              <w:keepLines w:val="0"/>
              <w:pageBreakBefore w:val="0"/>
              <w:widowControl w:val="0"/>
              <w:kinsoku/>
              <w:wordWrap/>
              <w:overflowPunct/>
              <w:topLinePunct w:val="0"/>
              <w:autoSpaceDE/>
              <w:autoSpaceDN/>
              <w:bidi w:val="0"/>
              <w:adjustRightInd/>
              <w:snapToGrid w:val="0"/>
              <w:spacing w:line="360" w:lineRule="auto"/>
              <w:ind w:left="0" w:right="0" w:firstLine="0" w:leftChars="0" w:rightChars="0" w:firstLineChars="0"/>
              <w:jc w:val="center"/>
              <w:textAlignment w:val="auto"/>
              <w:rPr>
                <w:rFonts w:ascii="宋体" w:eastAsia="宋体" w:hAnsi="宋体" w:cs="宋体" w:hint="eastAsia"/>
                <w:b/>
                <w:bCs/>
                <w:kern w:val="0"/>
                <w:sz w:val="21"/>
                <w:szCs w:val="21"/>
              </w:rPr>
            </w:pPr>
            <w:r>
              <w:rPr>
                <w:rFonts w:ascii="宋体" w:eastAsia="宋体" w:hAnsi="宋体" w:cs="宋体" w:hint="eastAsia"/>
                <w:b/>
                <w:bCs/>
                <w:kern w:val="0"/>
                <w:sz w:val="21"/>
                <w:szCs w:val="21"/>
              </w:rPr>
              <w:t>检测项目</w:t>
            </w:r>
          </w:p>
        </w:tc>
        <w:tc>
          <w:tcPr>
            <w:tcW w:w="2756" w:type="dxa"/>
            <w:tcBorders>
              <w:top w:val="single" w:sz="12" w:space="0" w:color="auto"/>
              <w:left w:val="nil"/>
              <w:bottom w:val="nil"/>
              <w:right w:val="nil"/>
            </w:tcBorders>
            <w:noWrap w:val="0"/>
            <w:tcMar>
              <w:top w:w="60" w:type="dxa"/>
              <w:left w:w="120" w:type="dxa"/>
              <w:bottom w:w="30" w:type="dxa"/>
              <w:right w:w="120" w:type="dxa"/>
            </w:tcMar>
            <w:vAlign w:val="center"/>
          </w:tcPr>
          <w:p w14:paraId="09045BC2">
            <w:pPr>
              <w:keepNext w:val="0"/>
              <w:keepLines w:val="0"/>
              <w:pageBreakBefore w:val="0"/>
              <w:widowControl w:val="0"/>
              <w:kinsoku/>
              <w:wordWrap/>
              <w:overflowPunct/>
              <w:topLinePunct w:val="0"/>
              <w:autoSpaceDE/>
              <w:autoSpaceDN/>
              <w:bidi w:val="0"/>
              <w:adjustRightInd/>
              <w:snapToGrid w:val="0"/>
              <w:spacing w:line="360" w:lineRule="auto"/>
              <w:ind w:left="0" w:right="0" w:firstLine="0" w:leftChars="0" w:rightChars="0" w:firstLineChars="0"/>
              <w:jc w:val="center"/>
              <w:textAlignment w:val="auto"/>
              <w:rPr>
                <w:rFonts w:ascii="宋体" w:eastAsia="宋体" w:hAnsi="宋体" w:cs="宋体" w:hint="eastAsia"/>
                <w:b/>
                <w:bCs/>
                <w:kern w:val="0"/>
                <w:sz w:val="21"/>
                <w:szCs w:val="21"/>
              </w:rPr>
            </w:pPr>
            <w:r>
              <w:rPr>
                <w:rFonts w:ascii="宋体" w:eastAsia="宋体" w:hAnsi="宋体" w:cs="宋体" w:hint="eastAsia"/>
                <w:b/>
                <w:bCs/>
                <w:kern w:val="0"/>
                <w:sz w:val="21"/>
                <w:szCs w:val="21"/>
              </w:rPr>
              <w:t>控制指标</w:t>
            </w:r>
          </w:p>
        </w:tc>
        <w:tc>
          <w:tcPr>
            <w:tcW w:w="3326" w:type="dxa"/>
            <w:tcBorders>
              <w:top w:val="single" w:sz="12" w:space="0" w:color="auto"/>
              <w:left w:val="nil"/>
              <w:bottom w:val="nil"/>
              <w:right w:val="nil"/>
            </w:tcBorders>
            <w:noWrap w:val="0"/>
            <w:tcMar>
              <w:top w:w="60" w:type="dxa"/>
              <w:left w:w="120" w:type="dxa"/>
              <w:bottom w:w="30" w:type="dxa"/>
              <w:right w:w="120" w:type="dxa"/>
            </w:tcMar>
            <w:vAlign w:val="center"/>
          </w:tcPr>
          <w:p w14:paraId="5EB525B2">
            <w:pPr>
              <w:keepNext w:val="0"/>
              <w:keepLines w:val="0"/>
              <w:pageBreakBefore w:val="0"/>
              <w:widowControl w:val="0"/>
              <w:kinsoku/>
              <w:wordWrap/>
              <w:overflowPunct/>
              <w:topLinePunct w:val="0"/>
              <w:autoSpaceDE/>
              <w:autoSpaceDN/>
              <w:bidi w:val="0"/>
              <w:adjustRightInd/>
              <w:snapToGrid w:val="0"/>
              <w:spacing w:line="360" w:lineRule="auto"/>
              <w:ind w:left="0" w:right="0" w:firstLine="0" w:leftChars="0" w:rightChars="0" w:firstLineChars="0"/>
              <w:jc w:val="center"/>
              <w:textAlignment w:val="auto"/>
              <w:rPr>
                <w:rFonts w:ascii="宋体" w:eastAsia="宋体" w:hAnsi="宋体" w:cs="宋体" w:hint="eastAsia"/>
                <w:b/>
                <w:bCs/>
                <w:kern w:val="0"/>
                <w:sz w:val="21"/>
                <w:szCs w:val="21"/>
              </w:rPr>
            </w:pPr>
            <w:r>
              <w:rPr>
                <w:rFonts w:ascii="宋体" w:eastAsia="宋体" w:hAnsi="宋体" w:cs="宋体" w:hint="eastAsia"/>
                <w:b/>
                <w:bCs/>
                <w:kern w:val="0"/>
                <w:sz w:val="21"/>
                <w:szCs w:val="21"/>
              </w:rPr>
              <w:t>检验方式</w:t>
            </w:r>
          </w:p>
        </w:tc>
      </w:tr>
      <w:tr w14:paraId="2EA3F706">
        <w:tblPrEx>
          <w:tblW w:w="8522" w:type="dxa"/>
          <w:jc w:val="center"/>
          <w:tblCellMar>
            <w:top w:w="0" w:type="dxa"/>
            <w:left w:w="10" w:type="dxa"/>
            <w:bottom w:w="0" w:type="dxa"/>
            <w:right w:w="10" w:type="dxa"/>
          </w:tblCellMar>
        </w:tblPrEx>
        <w:trPr>
          <w:trHeight w:hRule="auto" w:val="0"/>
          <w:jc w:val="center"/>
        </w:trPr>
        <w:tc>
          <w:tcPr>
            <w:tcW w:w="2440" w:type="dxa"/>
            <w:tcBorders>
              <w:top w:val="single" w:sz="4" w:space="0" w:color="auto"/>
              <w:left w:val="nil"/>
              <w:bottom w:val="nil"/>
              <w:right w:val="nil"/>
            </w:tcBorders>
            <w:noWrap w:val="0"/>
            <w:tcMar>
              <w:top w:w="60" w:type="dxa"/>
              <w:left w:w="120" w:type="dxa"/>
              <w:bottom w:w="30" w:type="dxa"/>
              <w:right w:w="120" w:type="dxa"/>
            </w:tcMar>
            <w:vAlign w:val="center"/>
          </w:tcPr>
          <w:p w14:paraId="796436D0">
            <w:pPr>
              <w:keepNext w:val="0"/>
              <w:keepLines w:val="0"/>
              <w:pageBreakBefore w:val="0"/>
              <w:widowControl w:val="0"/>
              <w:kinsoku/>
              <w:wordWrap/>
              <w:overflowPunct/>
              <w:topLinePunct w:val="0"/>
              <w:autoSpaceDE/>
              <w:autoSpaceDN/>
              <w:bidi w:val="0"/>
              <w:adjustRightInd/>
              <w:snapToGrid w:val="0"/>
              <w:spacing w:line="36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灌浆料3d抗压强度</w:t>
            </w:r>
          </w:p>
        </w:tc>
        <w:tc>
          <w:tcPr>
            <w:tcW w:w="2756" w:type="dxa"/>
            <w:tcBorders>
              <w:top w:val="single" w:sz="4" w:space="0" w:color="auto"/>
              <w:left w:val="nil"/>
              <w:bottom w:val="nil"/>
              <w:right w:val="nil"/>
            </w:tcBorders>
            <w:noWrap w:val="0"/>
            <w:tcMar>
              <w:top w:w="60" w:type="dxa"/>
              <w:left w:w="120" w:type="dxa"/>
              <w:bottom w:w="30" w:type="dxa"/>
              <w:right w:w="120" w:type="dxa"/>
            </w:tcMar>
            <w:vAlign w:val="center"/>
          </w:tcPr>
          <w:p w14:paraId="6BE90BB5">
            <w:pPr>
              <w:keepNext w:val="0"/>
              <w:keepLines w:val="0"/>
              <w:pageBreakBefore w:val="0"/>
              <w:widowControl w:val="0"/>
              <w:kinsoku/>
              <w:wordWrap/>
              <w:overflowPunct/>
              <w:topLinePunct w:val="0"/>
              <w:autoSpaceDE/>
              <w:autoSpaceDN/>
              <w:bidi w:val="0"/>
              <w:adjustRightInd/>
              <w:snapToGrid w:val="0"/>
              <w:spacing w:line="36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≥60MPa</w:t>
            </w:r>
          </w:p>
        </w:tc>
        <w:tc>
          <w:tcPr>
            <w:tcW w:w="3326" w:type="dxa"/>
            <w:tcBorders>
              <w:top w:val="single" w:sz="4" w:space="0" w:color="auto"/>
              <w:left w:val="nil"/>
              <w:bottom w:val="nil"/>
              <w:right w:val="nil"/>
            </w:tcBorders>
            <w:noWrap w:val="0"/>
            <w:tcMar>
              <w:top w:w="60" w:type="dxa"/>
              <w:left w:w="120" w:type="dxa"/>
              <w:bottom w:w="30" w:type="dxa"/>
              <w:right w:w="120" w:type="dxa"/>
            </w:tcMar>
            <w:vAlign w:val="center"/>
          </w:tcPr>
          <w:p w14:paraId="6C054B8E">
            <w:pPr>
              <w:keepNext w:val="0"/>
              <w:keepLines w:val="0"/>
              <w:pageBreakBefore w:val="0"/>
              <w:widowControl w:val="0"/>
              <w:kinsoku/>
              <w:wordWrap/>
              <w:overflowPunct/>
              <w:topLinePunct w:val="0"/>
              <w:autoSpaceDE/>
              <w:autoSpaceDN/>
              <w:bidi w:val="0"/>
              <w:adjustRightInd/>
              <w:snapToGrid w:val="0"/>
              <w:spacing w:line="36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同条件试块抗压试验</w:t>
            </w:r>
          </w:p>
        </w:tc>
      </w:tr>
      <w:tr w14:paraId="764F02D6">
        <w:tblPrEx>
          <w:tblW w:w="8522" w:type="dxa"/>
          <w:jc w:val="center"/>
          <w:tblCellMar>
            <w:top w:w="0" w:type="dxa"/>
            <w:left w:w="10" w:type="dxa"/>
            <w:bottom w:w="0" w:type="dxa"/>
            <w:right w:w="10" w:type="dxa"/>
          </w:tblCellMar>
        </w:tblPrEx>
        <w:trPr>
          <w:trHeight w:hRule="auto" w:val="0"/>
          <w:jc w:val="center"/>
        </w:trPr>
        <w:tc>
          <w:tcPr>
            <w:tcW w:w="2440" w:type="dxa"/>
            <w:tcBorders>
              <w:top w:val="nil"/>
              <w:left w:val="nil"/>
              <w:bottom w:val="nil"/>
              <w:right w:val="nil"/>
            </w:tcBorders>
            <w:noWrap w:val="0"/>
            <w:tcMar>
              <w:top w:w="60" w:type="dxa"/>
              <w:left w:w="120" w:type="dxa"/>
              <w:bottom w:w="30" w:type="dxa"/>
              <w:right w:w="120" w:type="dxa"/>
            </w:tcMar>
            <w:vAlign w:val="center"/>
          </w:tcPr>
          <w:p w14:paraId="5322D30E">
            <w:pPr>
              <w:keepNext w:val="0"/>
              <w:keepLines w:val="0"/>
              <w:pageBreakBefore w:val="0"/>
              <w:widowControl w:val="0"/>
              <w:kinsoku/>
              <w:wordWrap/>
              <w:overflowPunct/>
              <w:topLinePunct w:val="0"/>
              <w:autoSpaceDE/>
              <w:autoSpaceDN/>
              <w:bidi w:val="0"/>
              <w:adjustRightInd/>
              <w:snapToGrid w:val="0"/>
              <w:spacing w:line="36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钢筋有效锚固长度</w:t>
            </w:r>
          </w:p>
        </w:tc>
        <w:tc>
          <w:tcPr>
            <w:tcW w:w="2756" w:type="dxa"/>
            <w:tcBorders>
              <w:top w:val="nil"/>
              <w:left w:val="nil"/>
              <w:bottom w:val="nil"/>
              <w:right w:val="nil"/>
            </w:tcBorders>
            <w:noWrap w:val="0"/>
            <w:tcMar>
              <w:top w:w="60" w:type="dxa"/>
              <w:left w:w="120" w:type="dxa"/>
              <w:bottom w:w="30" w:type="dxa"/>
              <w:right w:w="120" w:type="dxa"/>
            </w:tcMar>
            <w:vAlign w:val="center"/>
          </w:tcPr>
          <w:p w14:paraId="03AF8520">
            <w:pPr>
              <w:keepNext w:val="0"/>
              <w:keepLines w:val="0"/>
              <w:pageBreakBefore w:val="0"/>
              <w:widowControl w:val="0"/>
              <w:kinsoku/>
              <w:wordWrap/>
              <w:overflowPunct/>
              <w:topLinePunct w:val="0"/>
              <w:autoSpaceDE/>
              <w:autoSpaceDN/>
              <w:bidi w:val="0"/>
              <w:adjustRightInd/>
              <w:snapToGrid w:val="0"/>
              <w:spacing w:line="36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≥8d（d为钢筋直径）</w:t>
            </w:r>
          </w:p>
        </w:tc>
        <w:tc>
          <w:tcPr>
            <w:tcW w:w="3326" w:type="dxa"/>
            <w:tcBorders>
              <w:top w:val="nil"/>
              <w:left w:val="nil"/>
              <w:bottom w:val="nil"/>
              <w:right w:val="nil"/>
            </w:tcBorders>
            <w:noWrap w:val="0"/>
            <w:tcMar>
              <w:top w:w="60" w:type="dxa"/>
              <w:left w:w="120" w:type="dxa"/>
              <w:bottom w:w="30" w:type="dxa"/>
              <w:right w:w="120" w:type="dxa"/>
            </w:tcMar>
            <w:vAlign w:val="center"/>
          </w:tcPr>
          <w:p w14:paraId="597A4E9E">
            <w:pPr>
              <w:keepNext w:val="0"/>
              <w:keepLines w:val="0"/>
              <w:pageBreakBefore w:val="0"/>
              <w:widowControl w:val="0"/>
              <w:kinsoku/>
              <w:wordWrap/>
              <w:overflowPunct/>
              <w:topLinePunct w:val="0"/>
              <w:autoSpaceDE/>
              <w:autoSpaceDN/>
              <w:bidi w:val="0"/>
              <w:adjustRightInd/>
              <w:snapToGrid w:val="0"/>
              <w:spacing w:line="36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构件开孔复核</w:t>
            </w:r>
          </w:p>
        </w:tc>
      </w:tr>
      <w:tr w14:paraId="3B4D0390">
        <w:tblPrEx>
          <w:tblW w:w="8522" w:type="dxa"/>
          <w:jc w:val="center"/>
          <w:tblCellMar>
            <w:top w:w="0" w:type="dxa"/>
            <w:left w:w="10" w:type="dxa"/>
            <w:bottom w:w="0" w:type="dxa"/>
            <w:right w:w="10" w:type="dxa"/>
          </w:tblCellMar>
        </w:tblPrEx>
        <w:trPr>
          <w:trHeight w:hRule="auto" w:val="0"/>
          <w:jc w:val="center"/>
        </w:trPr>
        <w:tc>
          <w:tcPr>
            <w:tcW w:w="2440" w:type="dxa"/>
            <w:tcBorders>
              <w:top w:val="nil"/>
              <w:left w:val="nil"/>
              <w:bottom w:val="nil"/>
              <w:right w:val="nil"/>
            </w:tcBorders>
            <w:noWrap w:val="0"/>
            <w:tcMar>
              <w:top w:w="60" w:type="dxa"/>
              <w:left w:w="120" w:type="dxa"/>
              <w:bottom w:w="30" w:type="dxa"/>
              <w:right w:w="120" w:type="dxa"/>
            </w:tcMar>
            <w:vAlign w:val="center"/>
          </w:tcPr>
          <w:p w14:paraId="6FA07BCE">
            <w:pPr>
              <w:keepNext w:val="0"/>
              <w:keepLines w:val="0"/>
              <w:pageBreakBefore w:val="0"/>
              <w:widowControl w:val="0"/>
              <w:kinsoku/>
              <w:wordWrap/>
              <w:overflowPunct/>
              <w:topLinePunct w:val="0"/>
              <w:autoSpaceDE/>
              <w:autoSpaceDN/>
              <w:bidi w:val="0"/>
              <w:adjustRightInd/>
              <w:snapToGrid w:val="0"/>
              <w:spacing w:line="36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灌浆充盈度</w:t>
            </w:r>
          </w:p>
        </w:tc>
        <w:tc>
          <w:tcPr>
            <w:tcW w:w="2756" w:type="dxa"/>
            <w:tcBorders>
              <w:top w:val="nil"/>
              <w:left w:val="nil"/>
              <w:bottom w:val="nil"/>
              <w:right w:val="nil"/>
            </w:tcBorders>
            <w:noWrap w:val="0"/>
            <w:tcMar>
              <w:top w:w="60" w:type="dxa"/>
              <w:left w:w="120" w:type="dxa"/>
              <w:bottom w:w="30" w:type="dxa"/>
              <w:right w:w="120" w:type="dxa"/>
            </w:tcMar>
            <w:vAlign w:val="center"/>
          </w:tcPr>
          <w:p w14:paraId="561BC22A">
            <w:pPr>
              <w:keepNext w:val="0"/>
              <w:keepLines w:val="0"/>
              <w:pageBreakBefore w:val="0"/>
              <w:widowControl w:val="0"/>
              <w:kinsoku/>
              <w:wordWrap/>
              <w:overflowPunct/>
              <w:topLinePunct w:val="0"/>
              <w:autoSpaceDE/>
              <w:autoSpaceDN/>
              <w:bidi w:val="0"/>
              <w:adjustRightInd/>
              <w:snapToGrid w:val="0"/>
              <w:spacing w:line="36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100%</w:t>
            </w:r>
          </w:p>
        </w:tc>
        <w:tc>
          <w:tcPr>
            <w:tcW w:w="3326" w:type="dxa"/>
            <w:tcBorders>
              <w:top w:val="nil"/>
              <w:left w:val="nil"/>
              <w:bottom w:val="nil"/>
              <w:right w:val="nil"/>
            </w:tcBorders>
            <w:noWrap w:val="0"/>
            <w:tcMar>
              <w:top w:w="60" w:type="dxa"/>
              <w:left w:w="120" w:type="dxa"/>
              <w:bottom w:w="30" w:type="dxa"/>
              <w:right w:w="120" w:type="dxa"/>
            </w:tcMar>
            <w:vAlign w:val="center"/>
          </w:tcPr>
          <w:p w14:paraId="4EBC2A12">
            <w:pPr>
              <w:keepNext w:val="0"/>
              <w:keepLines w:val="0"/>
              <w:pageBreakBefore w:val="0"/>
              <w:widowControl w:val="0"/>
              <w:kinsoku/>
              <w:wordWrap/>
              <w:overflowPunct/>
              <w:topLinePunct w:val="0"/>
              <w:autoSpaceDE/>
              <w:autoSpaceDN/>
              <w:bidi w:val="0"/>
              <w:adjustRightInd/>
              <w:snapToGrid w:val="0"/>
              <w:spacing w:line="36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预埋钢丝拉拔、内窥镜抽查</w:t>
            </w:r>
          </w:p>
        </w:tc>
      </w:tr>
      <w:tr w14:paraId="7286E1D2">
        <w:tblPrEx>
          <w:tblW w:w="8522" w:type="dxa"/>
          <w:jc w:val="center"/>
          <w:tblCellMar>
            <w:top w:w="0" w:type="dxa"/>
            <w:left w:w="10" w:type="dxa"/>
            <w:bottom w:w="0" w:type="dxa"/>
            <w:right w:w="10" w:type="dxa"/>
          </w:tblCellMar>
        </w:tblPrEx>
        <w:trPr>
          <w:trHeight w:hRule="auto" w:val="0"/>
          <w:jc w:val="center"/>
        </w:trPr>
        <w:tc>
          <w:tcPr>
            <w:tcW w:w="2440" w:type="dxa"/>
            <w:tcBorders>
              <w:top w:val="nil"/>
              <w:left w:val="nil"/>
              <w:bottom w:val="single" w:sz="12" w:space="0" w:color="auto"/>
              <w:right w:val="nil"/>
            </w:tcBorders>
            <w:noWrap w:val="0"/>
            <w:tcMar>
              <w:top w:w="60" w:type="dxa"/>
              <w:left w:w="120" w:type="dxa"/>
              <w:bottom w:w="30" w:type="dxa"/>
              <w:right w:w="120" w:type="dxa"/>
            </w:tcMar>
            <w:vAlign w:val="center"/>
          </w:tcPr>
          <w:p w14:paraId="64B180DC">
            <w:pPr>
              <w:keepNext w:val="0"/>
              <w:keepLines w:val="0"/>
              <w:pageBreakBefore w:val="0"/>
              <w:widowControl w:val="0"/>
              <w:kinsoku/>
              <w:wordWrap/>
              <w:overflowPunct/>
              <w:topLinePunct w:val="0"/>
              <w:autoSpaceDE/>
              <w:autoSpaceDN/>
              <w:bidi w:val="0"/>
              <w:adjustRightInd/>
              <w:snapToGrid w:val="0"/>
              <w:spacing w:line="36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作业环境温度</w:t>
            </w:r>
          </w:p>
        </w:tc>
        <w:tc>
          <w:tcPr>
            <w:tcW w:w="2756" w:type="dxa"/>
            <w:tcBorders>
              <w:top w:val="nil"/>
              <w:left w:val="nil"/>
              <w:bottom w:val="single" w:sz="12" w:space="0" w:color="auto"/>
              <w:right w:val="nil"/>
            </w:tcBorders>
            <w:noWrap w:val="0"/>
            <w:tcMar>
              <w:top w:w="60" w:type="dxa"/>
              <w:left w:w="120" w:type="dxa"/>
              <w:bottom w:w="30" w:type="dxa"/>
              <w:right w:w="120" w:type="dxa"/>
            </w:tcMar>
            <w:vAlign w:val="center"/>
          </w:tcPr>
          <w:p w14:paraId="30D64CA9">
            <w:pPr>
              <w:keepNext w:val="0"/>
              <w:keepLines w:val="0"/>
              <w:pageBreakBefore w:val="0"/>
              <w:widowControl w:val="0"/>
              <w:kinsoku/>
              <w:wordWrap/>
              <w:overflowPunct/>
              <w:topLinePunct w:val="0"/>
              <w:autoSpaceDE/>
              <w:autoSpaceDN/>
              <w:bidi w:val="0"/>
              <w:adjustRightInd/>
              <w:snapToGrid w:val="0"/>
              <w:spacing w:line="36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5~30℃</w:t>
            </w:r>
          </w:p>
        </w:tc>
        <w:tc>
          <w:tcPr>
            <w:tcW w:w="3326" w:type="dxa"/>
            <w:tcBorders>
              <w:top w:val="nil"/>
              <w:left w:val="nil"/>
              <w:bottom w:val="single" w:sz="12" w:space="0" w:color="auto"/>
              <w:right w:val="nil"/>
            </w:tcBorders>
            <w:noWrap w:val="0"/>
            <w:tcMar>
              <w:top w:w="60" w:type="dxa"/>
              <w:left w:w="120" w:type="dxa"/>
              <w:bottom w:w="30" w:type="dxa"/>
              <w:right w:w="120" w:type="dxa"/>
            </w:tcMar>
            <w:vAlign w:val="center"/>
          </w:tcPr>
          <w:p w14:paraId="2C581AF9">
            <w:pPr>
              <w:keepNext w:val="0"/>
              <w:keepLines w:val="0"/>
              <w:pageBreakBefore w:val="0"/>
              <w:widowControl w:val="0"/>
              <w:kinsoku/>
              <w:wordWrap/>
              <w:overflowPunct/>
              <w:topLinePunct w:val="0"/>
              <w:autoSpaceDE/>
              <w:autoSpaceDN/>
              <w:bidi w:val="0"/>
              <w:adjustRightInd/>
              <w:snapToGrid w:val="0"/>
              <w:spacing w:line="360" w:lineRule="auto"/>
              <w:ind w:left="0" w:right="0" w:firstLine="0" w:leftChars="0" w:rightChars="0" w:firstLineChars="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现场温湿度记录</w:t>
            </w:r>
          </w:p>
        </w:tc>
      </w:tr>
    </w:tbl>
    <w:p w14:paraId="74B81289">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2"/>
        <w:rPr>
          <w:rFonts w:ascii="宋体" w:eastAsia="宋体" w:hAnsi="宋体" w:cs="宋体" w:hint="eastAsia"/>
          <w:b w:val="0"/>
          <w:bCs/>
          <w:kern w:val="0"/>
          <w:sz w:val="21"/>
          <w:szCs w:val="21"/>
        </w:rPr>
      </w:pPr>
      <w:bookmarkStart w:id="14" w:name="heading_15"/>
      <w:r>
        <w:rPr>
          <w:rFonts w:ascii="宋体" w:eastAsia="宋体" w:hAnsi="宋体" w:cs="宋体" w:hint="eastAsia"/>
          <w:b w:val="0"/>
          <w:bCs/>
          <w:kern w:val="0"/>
          <w:sz w:val="21"/>
          <w:szCs w:val="21"/>
        </w:rPr>
        <w:t>3.2节点连接质量通病及现场防治措施</w:t>
      </w:r>
      <w:bookmarkEnd w:id="14"/>
    </w:p>
    <w:p w14:paraId="5CE90827">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2"/>
        <w:rPr>
          <w:rFonts w:ascii="宋体" w:eastAsia="宋体" w:hAnsi="宋体" w:cs="宋体" w:hint="eastAsia"/>
          <w:b w:val="0"/>
          <w:bCs/>
          <w:kern w:val="0"/>
          <w:sz w:val="21"/>
          <w:szCs w:val="21"/>
        </w:rPr>
      </w:pPr>
      <w:bookmarkStart w:id="15" w:name="heading_16"/>
      <w:r>
        <w:rPr>
          <w:rFonts w:ascii="宋体" w:eastAsia="宋体" w:hAnsi="宋体" w:cs="宋体" w:hint="eastAsia"/>
          <w:b w:val="0"/>
          <w:bCs/>
          <w:kern w:val="0"/>
          <w:sz w:val="21"/>
          <w:szCs w:val="21"/>
        </w:rPr>
        <w:t>对表2</w:t>
      </w:r>
      <w:r>
        <w:rPr>
          <w:rFonts w:ascii="宋体" w:eastAsia="宋体" w:hAnsi="宋体" w:cs="宋体" w:hint="eastAsia"/>
          <w:b w:val="0"/>
          <w:bCs/>
          <w:kern w:val="0"/>
          <w:sz w:val="21"/>
          <w:szCs w:val="21"/>
          <w:lang w:val="en-US" w:eastAsia="zh-CN"/>
        </w:rPr>
        <w:t>给</w:t>
      </w:r>
      <w:r>
        <w:rPr>
          <w:rFonts w:ascii="宋体" w:eastAsia="宋体" w:hAnsi="宋体" w:cs="宋体" w:hint="eastAsia"/>
          <w:b w:val="0"/>
          <w:bCs/>
          <w:kern w:val="0"/>
          <w:sz w:val="21"/>
          <w:szCs w:val="21"/>
        </w:rPr>
        <w:t>出的各种缺陷进行防治措施时，必须做到与各类缺陷的成因一一对应。套筒灌浆充盈不足主要是由于封堵时间过早、浆液在静置过程中随时间的延长而流失所造成的，作业时要等到出浆孔有无气泡的浆料流出后才进行封堵，单次拌制量不能超过规定的停留时间。套筒预埋位置偏移是构件制作过程中产生的缺陷，预制阶段使用定型胎模固定套筒，脱模后及时复核套筒坐标，超出允许偏差的构件吊装前处理，不得把偏差带到现场。叠合节点混凝土振捣缺陷大多是由于钢筋排布过于密集，振捣棒难以深入到混凝土内部造成的，浇筑前优化钢筋布置预留振捣孔，振捣时用人工插捣。墙板坐浆不连续，用定型挡条控制坐浆厚度分层摊铺，保证接缝满浆。各项措施先在样板区进行实验，验收合格后推广到大范围的施工当中，并根据季节来调节作业时间，减少由于环境因素造成的节点质量不合格的情况。</w:t>
      </w:r>
    </w:p>
    <w:p w14:paraId="24D2DEBA">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2"/>
        <w:rPr>
          <w:rFonts w:ascii="宋体" w:eastAsia="宋体" w:hAnsi="宋体" w:cs="宋体" w:hint="eastAsia"/>
          <w:b w:val="0"/>
          <w:bCs/>
          <w:kern w:val="0"/>
          <w:sz w:val="21"/>
          <w:szCs w:val="21"/>
        </w:rPr>
      </w:pPr>
      <w:r>
        <w:rPr>
          <w:rFonts w:ascii="宋体" w:eastAsia="宋体" w:hAnsi="宋体" w:cs="宋体" w:hint="eastAsia"/>
          <w:b w:val="0"/>
          <w:bCs/>
          <w:kern w:val="0"/>
          <w:sz w:val="21"/>
          <w:szCs w:val="21"/>
        </w:rPr>
        <w:t>3.3依托房建项目的节点施工案例分析</w:t>
      </w:r>
      <w:bookmarkEnd w:id="15"/>
    </w:p>
    <w:p w14:paraId="06035A18">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项目前期样板施工阶段套筒灌浆充盈缺陷所占比例最大，主要是由于排浆孔封堵过早造成的浆料流动度降低。项目调整工序中排浆孔稳定流出无气泡浆料后立即封堵，缩短每次拌合料用量。</w:t>
      </w:r>
    </w:p>
    <w:p w14:paraId="1D8D5DB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通过对比样板阶段和正式施工阶段的检测数据可知，套筒灌浆抽检合格率由原来的72.3%提高到了现在的96.8%，叠合节点混凝土外观缺陷的比例下降了，墙板接缝渗漏的问题没有在分户验收的时候出现大面积的集中暴露。</w:t>
      </w:r>
    </w:p>
    <w:p w14:paraId="27258DE9">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根据式(1)对整改后的套筒锚固承载力进行复核，钢筋有效锚固长度满足要求，锚固承载力满足钢筋屈服承载力的要求；机械连接接头拉伸试验，断口都在母材上，满足验收标准。整个项目节点施工没有造成主体结构安全的重大缺陷。</w:t>
      </w:r>
    </w:p>
    <w:p w14:paraId="05CF9F8E">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2"/>
        <w:rPr>
          <w:rFonts w:ascii="宋体" w:eastAsia="宋体" w:hAnsi="宋体" w:cs="宋体" w:hint="eastAsia"/>
          <w:b w:val="0"/>
          <w:bCs/>
          <w:kern w:val="0"/>
          <w:sz w:val="21"/>
          <w:szCs w:val="21"/>
        </w:rPr>
      </w:pPr>
      <w:bookmarkStart w:id="16" w:name="heading_17"/>
      <w:r>
        <w:rPr>
          <w:rFonts w:ascii="宋体" w:eastAsia="宋体" w:hAnsi="宋体" w:cs="宋体" w:hint="eastAsia"/>
          <w:b w:val="0"/>
          <w:bCs/>
          <w:kern w:val="0"/>
          <w:sz w:val="21"/>
          <w:szCs w:val="21"/>
        </w:rPr>
        <w:t>3.4施工管控要点总结与现场优化建议</w:t>
      </w:r>
      <w:bookmarkEnd w:id="16"/>
    </w:p>
    <w:p w14:paraId="2352084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1"/>
        <w:rPr>
          <w:rFonts w:ascii="宋体" w:eastAsia="宋体" w:hAnsi="宋体" w:cs="宋体" w:hint="eastAsia"/>
          <w:b w:val="0"/>
          <w:bCs/>
          <w:kern w:val="0"/>
          <w:sz w:val="21"/>
          <w:szCs w:val="21"/>
        </w:rPr>
      </w:pPr>
      <w:bookmarkStart w:id="17" w:name="heading_18"/>
      <w:r>
        <w:rPr>
          <w:rFonts w:ascii="宋体" w:eastAsia="宋体" w:hAnsi="宋体" w:cs="宋体" w:hint="eastAsia"/>
          <w:b w:val="0"/>
          <w:bCs/>
          <w:kern w:val="0"/>
          <w:sz w:val="21"/>
          <w:szCs w:val="21"/>
        </w:rPr>
        <w:t>节点连接质量控制应在构件预制阶段提前进行，套筒定位、预留孔道坐标、粗糙面处理在出厂前就须经复核，现场偏差若不能在吊装中补救的话，将很难被纠正。现场施工阶段灌浆、坐浆、后浇混凝土属于重要的工序，必须派专人现场旁站，灌浆的顺序、封堵的时间以及拌合料用量要严格按照事先规定的参数执行，不得随意更改。样板引路方式可以保留下来，从样板段开始试验工艺参数、操作程序，验收合格之后再进行大面积施工，可减少由于工艺不熟悉导致的批量质量问题。人员操作的差异是造成节点质量波动的主要原因，对关键工序实行岗前实操考核、重要工序实行定人定岗，有利保持施工质量的稳定。具备条件的项目可以采用内窥镜、超声等手段对关键部位套筒进行复核，克服由于目测无法观察到的缺点。不同的地区气候条件及构件规格差别较大，灌浆锚固长度、接头形式等参数不能直接套用别的工程，须根据本工程的地质及材料情况重新核算后选用，保证控制措施与现场环境相匹配。</w:t>
      </w:r>
    </w:p>
    <w:bookmarkEnd w:id="17"/>
    <w:p w14:paraId="645204FD">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DejaVu Math TeX Gyre">
    <w:panose1 w:val="02000503000000000000"/>
    <w:charset w:val="00"/>
    <w:family w:val="auto"/>
    <w:pitch w:val="default"/>
    <w:sig w:usb0="A10000EF" w:usb1="4201F9EE" w:usb2="02000000" w:usb3="00000000" w:csb0="60000193" w:csb1="0DD4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EBB9131"/>
    <w:rsid w:val="4FFA6CF5"/>
    <w:rsid w:val="4FFFE8A6"/>
    <w:rsid w:val="572FC79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2025-01-02T18:06:00Z</dcterms:created>
  <dcterms:modified xsi:type="dcterms:W3CDTF">2026-11-04T22:21:24Z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2052-12.1.29182.29182</vt:lpwstr>
  </property>
  <property fmtid="{D5CDD505-2E9C-101B-9397-08002B2CF9AE}" pid="4" name="KSOTemplateDocerSaveRecord">
    <vt:lpwstr>eyJoZGlkIjoiOGMzODE2MDc2M2VkNDRjOGZmMTM5MmZmNTMwNzVlYjQiLCJ1c2VySWQiOiIxMjU5NTQwMzM2In0=</vt:lpwstr>
  </property>
</Properties>
</file>