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54B7401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（四）监测反馈滞后，过程纠偏迟缓</w:t>
      </w:r>
    </w:p>
    <w:p w14:paraId="1EEA752E">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路基监测就是对填筑过程中沉降、侧向位移等变形进行实时检测，很多项目所采用的监测方案都是走形式的，布点过密或者过疏都不能满足地质突变区段的监测需要，人工测量的方式周期较长，测量结果带有一定的误差。监测数据没有即时分析研判的流转渠道，变形异常信号不能很快到达现场管理人员的岗位，填筑工序不断向前推进但是隐患不能得到控制，直到变形发展到可以观察的程度才被发现，土体内部已经形成了无法逆转的变形发展态势，在没有约束的状态下不断蔓延。</w:t>
      </w:r>
    </w:p>
    <w:p w14:paraId="39BD3CD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二、铁路路基施工质量控制的优化对策</w:t>
      </w:r>
    </w:p>
    <w:p w14:paraId="7307F1E9">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（一）严控填料指标，筑牢源头防线</w:t>
      </w:r>
    </w:p>
    <w:p w14:paraId="52900B44">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路基填料的物质组成及物理特性决定路基的使用寿命，路基填料控制工作不能仅依靠进场抽样来完成，控制主体应当把检测范围扩大到料源开挖、土方运输、料场堆放的所有环节，从源头上杜绝劣质土体混入填筑工作面。技术人员先对选定的取土场进行分层勘察，以土层分布为依据划分独立的开挖区，不同区块开挖出来的土体分别堆放，并用硬质隔离围挡隔离开来，防止开挖时风化岩、腐殖土和合格填料混杂在一起。技术团队在开挖前一起制订了分级检测清单，在常规的颗粒级配、含水率、击实试验的基础上又增加了自由膨胀率、有机质含量的专项检测，检测批次以及每次取样的点位随着开挖进度的变化而变化。取土场表层剥离完毕之后，每开挖两百米的开挖面就设三个取样点，试样送至实验室做指标检验，检测报告尚未发出之前，该区的开挖土方严禁装车外运，运输车辆必须对应料源编号，现场收料员核对编号及检测资料后才能卸料，卸料区划专用堆放场地，场地底部铺设防渗土工布防止地表积水渗入，值守人员定时清除堆料表面滋生的杂草、浮土，防止表层土体性质发生变化带入到填筑层内部</w:t>
      </w:r>
      <w:r>
        <w:rPr>
          <w:rFonts w:hint="eastAsia"/>
          <w:color w:val="C00000"/>
          <w:vertAlign w:val="superscript"/>
          <w:lang w:val="en-US" w:eastAsia="zh-CN"/>
        </w:rPr>
        <w:t>[1]</w:t>
      </w:r>
      <w:r>
        <w:rPr>
          <w:rFonts w:hint="default"/>
          <w:color w:val="C00000"/>
          <w:lang w:val="en-US" w:eastAsia="zh-CN"/>
        </w:rPr>
        <w:t>。</w:t>
      </w:r>
    </w:p>
    <w:p w14:paraId="76711A32">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（二）校准压实参数，保障成型质量</w:t>
      </w:r>
    </w:p>
    <w:p w14:paraId="078935D1">
      <w:pPr>
        <w:rPr>
          <w:rFonts w:hint="eastAsia"/>
          <w:color w:val="C00000"/>
          <w:lang w:val="en-US" w:eastAsia="zh-CN"/>
        </w:rPr>
      </w:pPr>
      <w:r>
        <w:rPr>
          <w:rFonts w:hint="default"/>
          <w:color w:val="C00000"/>
          <w:lang w:val="en-US" w:eastAsia="zh-CN"/>
        </w:rPr>
        <w:t>路基压实参数不能照搬其他项目，施工单位以试验段作业的方式对全部参数进行标定，试验段选择与主线地质条件、填料种类一致的地段作为试验段，试验段施工过程中所有的工序都与大面积填筑相同，防止由于工况不同导致数据误差。技术人员要提前确定试验段内部各个监测单元，在每个单元里设置单独的松铺厚度梯度，碾压机组使用项目已确定型号的振动压路机，操作人员按照预先设定的行进速度和振动档位进行碾压作业，每完成一次碾压后，检测人员用环刀法或者核子密度仪采集压实度数据，同时记录土体回弹模量的变化情况，并持续观察压实指标随碾压遍数增加的规律。试验</w:t>
      </w:r>
      <w:r>
        <w:rPr>
          <w:rFonts w:hint="eastAsia"/>
          <w:color w:val="C00000"/>
          <w:lang w:val="en-US" w:eastAsia="zh-CN"/>
        </w:rPr>
        <w:t>段设</w:t>
      </w:r>
      <w:r>
        <w:rPr>
          <w:rFonts w:hint="default"/>
          <w:color w:val="C00000"/>
          <w:lang w:val="en-US" w:eastAsia="zh-CN"/>
        </w:rPr>
        <w:t>置30</w:t>
      </w:r>
      <w:r>
        <w:rPr>
          <w:rFonts w:hint="eastAsia"/>
          <w:color w:val="C00000"/>
          <w:lang w:val="en-US" w:eastAsia="zh-CN"/>
        </w:rPr>
        <w:t>cm</w:t>
      </w:r>
      <w:r>
        <w:rPr>
          <w:rFonts w:hint="default"/>
          <w:color w:val="C00000"/>
          <w:lang w:val="en-US" w:eastAsia="zh-CN"/>
        </w:rPr>
        <w:t>、35</w:t>
      </w:r>
      <w:r>
        <w:rPr>
          <w:rFonts w:hint="eastAsia"/>
          <w:color w:val="C00000"/>
          <w:lang w:val="en-US" w:eastAsia="zh-CN"/>
        </w:rPr>
        <w:t>cm</w:t>
      </w:r>
      <w:r>
        <w:rPr>
          <w:rFonts w:hint="default"/>
          <w:color w:val="C00000"/>
          <w:lang w:val="en-US" w:eastAsia="zh-CN"/>
        </w:rPr>
        <w:t>、40cm三个松铺厚度组别，采用30</w:t>
      </w:r>
      <w:r>
        <w:rPr>
          <w:rFonts w:hint="eastAsia"/>
          <w:color w:val="C00000"/>
          <w:lang w:val="en-US" w:eastAsia="zh-CN"/>
        </w:rPr>
        <w:t>00m/</w:t>
      </w:r>
      <w:r>
        <w:rPr>
          <w:rFonts w:hint="default"/>
          <w:color w:val="C00000"/>
          <w:lang w:val="en-US" w:eastAsia="zh-CN"/>
        </w:rPr>
        <w:t>h</w:t>
      </w:r>
      <w:r>
        <w:rPr>
          <w:rFonts w:hint="eastAsia"/>
          <w:color w:val="C00000"/>
          <w:lang w:val="en-US" w:eastAsia="zh-CN"/>
        </w:rPr>
        <w:t>和</w:t>
      </w:r>
      <w:r>
        <w:rPr>
          <w:rFonts w:hint="default"/>
          <w:color w:val="C00000"/>
          <w:lang w:val="en-US" w:eastAsia="zh-CN"/>
        </w:rPr>
        <w:t>40</w:t>
      </w:r>
      <w:r>
        <w:rPr>
          <w:rFonts w:hint="eastAsia"/>
          <w:color w:val="C00000"/>
          <w:lang w:val="en-US" w:eastAsia="zh-CN"/>
        </w:rPr>
        <w:t>00m/</w:t>
      </w:r>
      <w:r>
        <w:rPr>
          <w:rFonts w:hint="default"/>
          <w:color w:val="C00000"/>
          <w:lang w:val="en-US" w:eastAsia="zh-CN"/>
        </w:rPr>
        <w:t>h</w:t>
      </w:r>
      <w:r>
        <w:rPr>
          <w:rFonts w:hint="eastAsia"/>
          <w:color w:val="C00000"/>
          <w:lang w:val="en-US" w:eastAsia="zh-CN"/>
        </w:rPr>
        <w:t>两</w:t>
      </w:r>
      <w:r>
        <w:rPr>
          <w:rFonts w:hint="default"/>
          <w:color w:val="C00000"/>
          <w:lang w:val="en-US" w:eastAsia="zh-CN"/>
        </w:rPr>
        <w:t>种行进速度的压路机分别做交叉碾压试验，在碾压结束后静置半小时后做指标检测，工作人员将所有检测数据整理出来，剔除压实度离散度较大、土体结构被过压破坏的参数组合，只保留指标稳定区间对应的碾压方案作为正式施工的指导文件。</w:t>
      </w:r>
    </w:p>
    <w:p w14:paraId="5A8E859B">
      <w:pPr>
        <w:rPr>
          <w:rFonts w:hint="eastAsia"/>
          <w:color w:val="C00000"/>
          <w:lang w:val="en-US" w:eastAsia="zh-CN"/>
        </w:rPr>
      </w:pPr>
    </w:p>
    <w:p w14:paraId="2D09A780">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三、铁路路基施工质量控制技术的工程应用</w:t>
      </w:r>
    </w:p>
    <w:p w14:paraId="31AB1ECC">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（一）填料检测技术，落实进场核验</w:t>
      </w:r>
    </w:p>
    <w:p w14:paraId="5B2DAE6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填料检测技术在路基施工现场的推广运用，依靠试验室和现场快速检测点位的联动工作，把室内标准试验同现场即时检测结合起来，消除单送检模式带来的时间差。技术人员根据不同的料源填料选择合适的检测方法，常规物理指标用击实、筛分试验来确定，膨胀性、有机质等特殊指标使用专门的试验设备取得定量的数据，现场设置的快速含水率测定仪可对填料卸料时的含水率进行初步判定，检测结果异常的批次立即封存，取样送往试验室做复检。填料到达工作面以后，检测人员在卸料堆各个不同的深度处多点取样，快速设备给出的数值可以辅助管理人员对填料是否可以直接摊铺做出初步判断，只有全部检测资料形成完整的记录并且指标达到设计限值时，该批填料才能进入填筑工序，给路基填料质量溯源核查提供可靠的试验数据依据。</w:t>
      </w:r>
    </w:p>
    <w:p w14:paraId="43D698D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（二）压实智能技术，规范现场作业</w:t>
      </w:r>
    </w:p>
    <w:p w14:paraId="7411BF5F">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压实时智能技术依靠车载传感终端、定位模块和数据传输单元组成的作业感知系统，在压路机工作时不断收集压实功、振动频率、行驶轨迹等实时数据，替代人工记载碾压参数，定点检查压实度的旧方式。系统所得到的数据立即传送到现场控制终端上，现场控制终端可直接显示作业区压实覆盖情况和土体压实响应情况，管理人员通过传回的数据来了解填筑层各部位压实是否均匀，找出压路机碾压遗漏区、压实响应差的区段。压路机进行路基碾压作业时，传感装置会一直检测到的土体的压实值，作业屏幕即时标出不合格区域，操作人员按照标记的位置进行补压，之后检测点位以系统识别的薄弱区域为优先对象进行复核，给路基压实质量全过程评价赋予连续的数据支撑。</w:t>
      </w:r>
    </w:p>
    <w:p w14:paraId="2BFFB0E7">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（三）排水配套技术，强化防排水效</w:t>
      </w:r>
    </w:p>
    <w:p w14:paraId="48BCF1F8">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排水配套技术以地表截排结构和地下导排构造的协同施工为研究对象，采用土工反滤、预制沟槽装配、基底防渗等成熟工艺组合，把路基主体形成的同时就形成一个连续通畅的排水系统，避免因为局部施工造成排水系统断开造成排水失效的问题。施工人员根据前期水文勘察成果选择相应的配套技术种类，浅层汇水用预制截排水沟槽集中排泄，地下水富集区段用透水管材加反滤层作排水结构，各种构造的衔接节点用密封防渗工艺来处理，减小节点渗漏机率</w:t>
      </w:r>
      <w:r>
        <w:rPr>
          <w:rFonts w:hint="eastAsia"/>
          <w:color w:val="C00000"/>
          <w:vertAlign w:val="superscript"/>
          <w:lang w:val="en-US" w:eastAsia="zh-CN"/>
        </w:rPr>
        <w:t>[3]</w:t>
      </w:r>
      <w:r>
        <w:rPr>
          <w:rFonts w:hint="default"/>
          <w:color w:val="C00000"/>
          <w:lang w:val="en-US" w:eastAsia="zh-CN"/>
        </w:rPr>
        <w:t>。临近低洼汇水区路基段的预制钢筋混凝土边沟采用预制钢筋混凝土边沟装配施工，沟槽接缝处填入弹性密封材料，沟槽底部铺设一层薄碎石垫层提高基底稳定性，沟槽与地下盲沟之间留有过渡连接段，使地表水和地下水能顺畅地通过路基范围排出，可以保证排水系统整体连续，减少水体在路基周边以及土体内部的积累。</w:t>
      </w:r>
    </w:p>
    <w:p w14:paraId="3AB71B73">
      <w:pPr>
        <w:keepNext w:val="0"/>
        <w:keepLines w:val="0"/>
        <w:pageBreakBefore w:val="0"/>
        <w:widowControl w:val="0"/>
        <w:kinsoku/>
        <w:wordWrap/>
        <w:overflowPunct/>
        <w:topLinePunct w:val="0"/>
        <w:autoSpaceDE/>
        <w:autoSpaceDN/>
        <w:bidi w:val="0"/>
        <w:adjustRightInd/>
        <w:snapToGrid/>
        <w:spacing w:line="360" w:lineRule="auto"/>
        <w:ind w:firstLine="420" w:firstLineChars="200"/>
        <w:jc w:val="both"/>
        <w:textAlignment w:val="auto"/>
        <w:rPr>
          <w:rFonts w:hint="default"/>
          <w:color w:val="C00000"/>
          <w:lang w:val="en-US" w:eastAsia="zh-CN"/>
        </w:rPr>
      </w:pPr>
      <w:r>
        <w:rPr>
          <w:rFonts w:hint="default"/>
          <w:color w:val="C00000"/>
          <w:lang w:val="en-US" w:eastAsia="zh-CN"/>
        </w:rPr>
        <w:t>（四）在线监测技术，支撑闭环管控</w:t>
      </w:r>
    </w:p>
    <w:p w14:paraId="63522500">
      <w:pPr>
        <w:rPr>
          <w:rFonts w:hint="eastAsia"/>
          <w:color w:val="C00000"/>
          <w:lang w:val="en-US" w:eastAsia="zh-CN"/>
        </w:rPr>
      </w:pPr>
      <w:r>
        <w:rPr>
          <w:rFonts w:hint="default"/>
          <w:color w:val="C00000"/>
          <w:lang w:val="en-US" w:eastAsia="zh-CN"/>
        </w:rPr>
        <w:t>在线监测技术利用埋设于路基内部和边坡表面的传感元件，通过无线传输链路实时采集路基沉降、深层侧向位移、孔隙水压力等参数，代替周期长的人工间断采集，可以获取路基填筑全过程的变形信息。采集到的原始数据直接进入监测平台进行时序整理，平台自带的判定逻辑会一直监测变形的发展速度，发现指标异常波动，相关数据可以被施工方、监理方、设计方查阅。高填方路基内部设置孔隙水压力传感器，分层填筑时连续监测孔隙水压力的变化趋势，平台生成的变化曲线可以清楚地表现出土体固结消散的过程，管理人员借助长时间不间断的监测数据掌握路基土体固结的发展情况，这样一种技术把变形数据采集、汇总展示的链路打通，为路基填筑全过程的质量状态分析赋予了时序化、不间断的实测数据支撑。</w:t>
      </w:r>
      <w:bookmarkStart w:id="0" w:name="_GoBack"/>
      <w:bookmarkEnd w:id="0"/>
    </w:p>
    <w:sectPr>
      <w:footerReference w:type="default" r:id="rId5"/>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Arial">
    <w:panose1 w:val="020B0604020202020204"/>
    <w:charset w:val="01"/>
    <w:family w:val="swiss"/>
    <w:pitch w:val="default"/>
    <w:sig w:usb0="E0002EFF" w:usb1="C000785B" w:usb2="00000009" w:usb3="00000000" w:csb0="400001FF" w:csb1="FFFF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swiss"/>
    <w:pitch w:val="default"/>
    <w:sig w:usb0="E1002EFF" w:usb1="C000605B" w:usb2="00000029" w:usb3="00000000" w:csb0="200101FF" w:csb1="20280000"/>
  </w:font>
  <w:font w:name="Calibri Light">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14:paraId="3B5B9490">
    <w:pPr>
      <w:pStyle w:val="Foo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1" name="文本框 6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61312" coordsize="21600,21600" filled="f" stroked="f">
              <o:lock v:ext="edit" aspectratio="f"/>
              <v:textbox style="mso-fit-shape-to-text:t" inset="0,0,0,0">
                <w:txbxContent>
                  <w:p w14:paraId="7E4A7E4A">
                    <w:pPr>
                      <w:pStyle w:val="Footer"/>
                    </w:pPr>
                    <w:r>
                      <w:fldChar w:fldCharType="begin"/>
                    </w:r>
                    <w:r>
                      <w:instrText xml:space="preserve"> PAGE  \* MERGEFORMAT </w:instrText>
                    </w:r>
                    <w:r>
                      <w:fldChar w:fldCharType="separate"/>
                    </w:r>
                    <w:r>
                      <w:t>5</w:t>
                    </w:r>
                    <w:r>
                      <w:fldChar w:fldCharType="end"/>
                    </w:r>
                  </w:p>
                </w:txbxContent>
              </v:textbox>
              <w10:wrap anchorx="margin"/>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55" name="文本框 55"/>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rPr>
                              <w:rFonts w:hint="eastAsia"/>
                              <w:lang w:val="en-US" w:eastAsia="zh-CN"/>
                            </w:rPr>
                          </w:pPr>
                        </w:p>
                        <w:p>
                          <w:pPr>
                            <w:pStyle w:val="Footer"/>
                            <w:rPr>
                              <w:rFonts w:hint="default"/>
                              <w:lang w:val="en-US" w:eastAsia="zh-CN"/>
                            </w:rPr>
                          </w:pPr>
                        </w:p>
                        <w:p>
                          <w:pPr>
                            <w:pStyle w:val="Footer"/>
                            <w:rPr>
                              <w:rFonts w:hint="eastAsia"/>
                              <w:lang w:val="en-US" w:eastAsia="zh-CN"/>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2050" type="#_x0000_t202" style="width:2in;height:2in;margin-top:0;margin-left:0;mso-height-relative:page;mso-position-horizontal:center;mso-position-horizontal-relative:margin;mso-width-relative:page;mso-wrap-style:none;position:absolute;z-index:251659264" coordsize="21600,21600" filled="f" stroked="f">
              <o:lock v:ext="edit" aspectratio="f"/>
              <v:textbox style="mso-fit-shape-to-text:t" inset="0,0,0,0">
                <w:txbxContent>
                  <w:p w14:paraId="15101A80">
                    <w:pPr>
                      <w:pStyle w:val="Footer"/>
                      <w:rPr>
                        <w:rFonts w:hint="eastAsia"/>
                        <w:lang w:val="en-US" w:eastAsia="zh-CN"/>
                      </w:rPr>
                    </w:pPr>
                  </w:p>
                  <w:p w14:paraId="33616060">
                    <w:pPr>
                      <w:pStyle w:val="Footer"/>
                      <w:rPr>
                        <w:rFonts w:hint="default"/>
                        <w:lang w:val="en-US" w:eastAsia="zh-CN"/>
                      </w:rPr>
                    </w:pPr>
                  </w:p>
                  <w:p w14:paraId="0315B87E">
                    <w:pPr>
                      <w:pStyle w:val="Footer"/>
                      <w:rPr>
                        <w:rFonts w:hint="eastAsia"/>
                        <w:lang w:val="en-US" w:eastAsia="zh-CN"/>
                      </w:rPr>
                    </w:pP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TrueTypeFonts/>
  <w:saveSubset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0A137DF"/>
    <w:rsid w:val="012B7D89"/>
    <w:rsid w:val="037C729A"/>
    <w:rsid w:val="03D64084"/>
    <w:rsid w:val="04E40EF7"/>
    <w:rsid w:val="05253443"/>
    <w:rsid w:val="057529DA"/>
    <w:rsid w:val="062D6B9D"/>
    <w:rsid w:val="06AB06FE"/>
    <w:rsid w:val="078D0641"/>
    <w:rsid w:val="0951022B"/>
    <w:rsid w:val="0B1565EA"/>
    <w:rsid w:val="0DC67402"/>
    <w:rsid w:val="0E6025CB"/>
    <w:rsid w:val="0E9319CF"/>
    <w:rsid w:val="0FC53CE9"/>
    <w:rsid w:val="10264A11"/>
    <w:rsid w:val="10FC7A0C"/>
    <w:rsid w:val="110A3A14"/>
    <w:rsid w:val="1384217A"/>
    <w:rsid w:val="15834DA3"/>
    <w:rsid w:val="15BC4E5A"/>
    <w:rsid w:val="16D503E4"/>
    <w:rsid w:val="17760B6F"/>
    <w:rsid w:val="18F9476E"/>
    <w:rsid w:val="19D46BCE"/>
    <w:rsid w:val="19E52D75"/>
    <w:rsid w:val="1B835A6C"/>
    <w:rsid w:val="1BF4488C"/>
    <w:rsid w:val="1CCE1EE1"/>
    <w:rsid w:val="1D072788"/>
    <w:rsid w:val="1D2E60DA"/>
    <w:rsid w:val="1D7C0E3E"/>
    <w:rsid w:val="1E11009B"/>
    <w:rsid w:val="1F5D5A23"/>
    <w:rsid w:val="21FB1255"/>
    <w:rsid w:val="23A93707"/>
    <w:rsid w:val="23EE5E61"/>
    <w:rsid w:val="24804BB5"/>
    <w:rsid w:val="259C73C6"/>
    <w:rsid w:val="26677593"/>
    <w:rsid w:val="26C15742"/>
    <w:rsid w:val="28FE7794"/>
    <w:rsid w:val="2B3207F8"/>
    <w:rsid w:val="2B592789"/>
    <w:rsid w:val="2B82123D"/>
    <w:rsid w:val="2B91176C"/>
    <w:rsid w:val="2C593256"/>
    <w:rsid w:val="2DFE0923"/>
    <w:rsid w:val="2E1948B8"/>
    <w:rsid w:val="30BA3BF9"/>
    <w:rsid w:val="30C80E93"/>
    <w:rsid w:val="30E64101"/>
    <w:rsid w:val="31C36283"/>
    <w:rsid w:val="322F63DF"/>
    <w:rsid w:val="32566459"/>
    <w:rsid w:val="34A37A6F"/>
    <w:rsid w:val="350F525A"/>
    <w:rsid w:val="35AA510B"/>
    <w:rsid w:val="364F4412"/>
    <w:rsid w:val="396561F6"/>
    <w:rsid w:val="3A3027A5"/>
    <w:rsid w:val="3A634EC7"/>
    <w:rsid w:val="3D12289B"/>
    <w:rsid w:val="3F2116BD"/>
    <w:rsid w:val="3F22501A"/>
    <w:rsid w:val="3FC0057A"/>
    <w:rsid w:val="40126F43"/>
    <w:rsid w:val="4191348B"/>
    <w:rsid w:val="425E118F"/>
    <w:rsid w:val="43716BA9"/>
    <w:rsid w:val="43E37E5E"/>
    <w:rsid w:val="44E8418B"/>
    <w:rsid w:val="45C2510F"/>
    <w:rsid w:val="46F0277E"/>
    <w:rsid w:val="47B2458A"/>
    <w:rsid w:val="48404A5D"/>
    <w:rsid w:val="49136D17"/>
    <w:rsid w:val="49325F42"/>
    <w:rsid w:val="49DB1E04"/>
    <w:rsid w:val="49EE2B4D"/>
    <w:rsid w:val="4B7033E4"/>
    <w:rsid w:val="4F2B3B05"/>
    <w:rsid w:val="4F3D659F"/>
    <w:rsid w:val="4F6F4D85"/>
    <w:rsid w:val="50371526"/>
    <w:rsid w:val="52145EE2"/>
    <w:rsid w:val="52271932"/>
    <w:rsid w:val="52426781"/>
    <w:rsid w:val="52FD56F0"/>
    <w:rsid w:val="538114A4"/>
    <w:rsid w:val="54AE5DAD"/>
    <w:rsid w:val="57CA584B"/>
    <w:rsid w:val="5AE22543"/>
    <w:rsid w:val="5BBD3D11"/>
    <w:rsid w:val="5C8F7981"/>
    <w:rsid w:val="5DBB53CC"/>
    <w:rsid w:val="5F666CFD"/>
    <w:rsid w:val="5FD73794"/>
    <w:rsid w:val="60647EB6"/>
    <w:rsid w:val="609F1996"/>
    <w:rsid w:val="610C5BEA"/>
    <w:rsid w:val="649B63FC"/>
    <w:rsid w:val="653501C5"/>
    <w:rsid w:val="65E738CB"/>
    <w:rsid w:val="663E614C"/>
    <w:rsid w:val="668F66D2"/>
    <w:rsid w:val="66B70634"/>
    <w:rsid w:val="68FD5D5B"/>
    <w:rsid w:val="690445AB"/>
    <w:rsid w:val="69A24D27"/>
    <w:rsid w:val="69D42CB8"/>
    <w:rsid w:val="6A333127"/>
    <w:rsid w:val="6B743AC4"/>
    <w:rsid w:val="6C227DB7"/>
    <w:rsid w:val="6CE2153C"/>
    <w:rsid w:val="6F4436E1"/>
    <w:rsid w:val="70763F9A"/>
    <w:rsid w:val="726549BE"/>
    <w:rsid w:val="72A638AD"/>
    <w:rsid w:val="72F85BFE"/>
    <w:rsid w:val="74555FFD"/>
    <w:rsid w:val="782A6906"/>
    <w:rsid w:val="78A155D2"/>
    <w:rsid w:val="79341B08"/>
    <w:rsid w:val="79660E24"/>
    <w:rsid w:val="7A4E33A4"/>
    <w:rsid w:val="7A7A06ED"/>
    <w:rsid w:val="7AA4268F"/>
    <w:rsid w:val="7AEE6B12"/>
    <w:rsid w:val="7BA026E0"/>
    <w:rsid w:val="7BED6D2C"/>
    <w:rsid w:val="7D1559B4"/>
    <w:rsid w:val="7EDD65A0"/>
    <w:rsid w:val="7EEF3602"/>
    <w:rsid w:val="7F0417F9"/>
    <w:rsid w:val="7F957DB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qFormat="1"/>
    <w:lsdException w:name="header" w:semiHidden="0" w:uiPriority="0" w:unhideWhenUsed="0"/>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qFormat="1"/>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2">
    <w:name w:val="heading 2"/>
    <w:basedOn w:val="Normal"/>
    <w:next w:val="Normal"/>
    <w:semiHidden/>
    <w:unhideWhenUsed/>
    <w:qFormat/>
    <w:pPr>
      <w:spacing w:before="0" w:beforeAutospacing="1" w:after="0" w:afterAutospacing="1"/>
      <w:jc w:val="left"/>
      <w:outlineLvl w:val="1"/>
    </w:pPr>
    <w:rPr>
      <w:rFonts w:ascii="宋体" w:eastAsia="宋体" w:hAnsi="宋体" w:cs="宋体" w:hint="eastAsia"/>
      <w:b/>
      <w:bCs/>
      <w:kern w:val="0"/>
      <w:sz w:val="36"/>
      <w:szCs w:val="36"/>
      <w:lang w:val="en-US" w:eastAsia="zh-CN" w:bidi="ar"/>
    </w:rPr>
  </w:style>
  <w:style w:type="paragraph" w:styleId="Heading3">
    <w:name w:val="heading 3"/>
    <w:basedOn w:val="Normal"/>
    <w:next w:val="Normal"/>
    <w:semiHidden/>
    <w:unhideWhenUsed/>
    <w:qFormat/>
    <w:pPr>
      <w:spacing w:before="0" w:beforeAutospacing="1" w:after="0" w:afterAutospacing="1"/>
      <w:jc w:val="left"/>
      <w:outlineLvl w:val="2"/>
    </w:pPr>
    <w:rPr>
      <w:rFonts w:ascii="宋体" w:eastAsia="宋体" w:hAnsi="宋体" w:cs="宋体" w:hint="eastAsia"/>
      <w:b/>
      <w:bCs/>
      <w:kern w:val="0"/>
      <w:sz w:val="27"/>
      <w:szCs w:val="27"/>
      <w:lang w:val="en-US" w:eastAsia="zh-CN" w:bidi="ar"/>
    </w:rPr>
  </w:style>
  <w:style w:type="character" w:default="1" w:styleId="DefaultParagraphFont">
    <w:name w:val="Default Paragraph Font"/>
    <w:semiHidden/>
    <w:qFormat/>
  </w:style>
  <w:style w:type="table" w:default="1" w:styleId="TableNormal">
    <w:name w:val="Normal Table"/>
    <w:semiHidden/>
    <w:qFormat/>
    <w:tblPr>
      <w:tblCellMar>
        <w:top w:w="0" w:type="dxa"/>
        <w:left w:w="108" w:type="dxa"/>
        <w:bottom w:w="0" w:type="dxa"/>
        <w:right w:w="108" w:type="dxa"/>
      </w:tblCellMar>
    </w:tblPr>
  </w:style>
  <w:style w:type="paragraph" w:styleId="CommentText">
    <w:name w:val="annotation text"/>
    <w:basedOn w:val="Normal"/>
    <w:qFormat/>
    <w:pPr>
      <w:jc w:val="left"/>
    </w:pPr>
  </w:style>
  <w:style w:type="paragraph" w:styleId="BodyTextIndent">
    <w:name w:val="Body Text Indent"/>
    <w:basedOn w:val="Normal"/>
    <w:qFormat/>
    <w:pPr>
      <w:spacing w:after="120" w:afterLines="0" w:afterAutospacing="0"/>
      <w:ind w:left="420" w:leftChars="200"/>
    </w:pPr>
  </w:style>
  <w:style w:type="paragraph" w:styleId="Footer">
    <w:name w:val="footer"/>
    <w:basedOn w:val="Normal"/>
    <w:uiPriority w:val="99"/>
    <w:qFormat/>
    <w:pPr>
      <w:widowControl w:val="0"/>
      <w:tabs>
        <w:tab w:val="center" w:pos="4153"/>
        <w:tab w:val="right" w:pos="8306"/>
      </w:tabs>
      <w:snapToGrid w:val="0"/>
      <w:jc w:val="left"/>
    </w:pPr>
    <w:rPr>
      <w:rFonts w:ascii="Times New Roman" w:eastAsia="宋体" w:hAnsi="Times New Roman" w:cs="Times New Roman"/>
      <w:kern w:val="2"/>
      <w:sz w:val="18"/>
      <w:szCs w:val="18"/>
      <w:lang w:val="en-US" w:eastAsia="zh-CN" w:bidi="ar-SA"/>
    </w:rPr>
  </w:style>
  <w:style w:type="paragraph" w:styleId="NormalWeb">
    <w:name w:val="Normal (Web)"/>
    <w:basedOn w:val="Normal"/>
    <w:qFormat/>
    <w:pPr>
      <w:spacing w:before="0" w:beforeAutospacing="1" w:after="0" w:afterAutospacing="1"/>
      <w:ind w:left="0" w:right="0"/>
      <w:jc w:val="left"/>
    </w:pPr>
    <w:rPr>
      <w:kern w:val="0"/>
      <w:sz w:val="24"/>
      <w:lang w:val="en-US" w:eastAsia="zh-CN" w:bidi="ar"/>
    </w:rPr>
  </w:style>
  <w:style w:type="paragraph" w:styleId="BodyTextFirstIndent2">
    <w:name w:val="Body Text First Indent 2"/>
    <w:basedOn w:val="BodyTextIndent"/>
    <w:qFormat/>
    <w:pPr>
      <w:ind w:firstLine="420" w:firstLineChars="200"/>
    </w:pPr>
  </w:style>
  <w:style w:type="character" w:styleId="Strong">
    <w:name w:val="Strong"/>
    <w:basedOn w:val="DefaultParagraphFont"/>
    <w:qFormat/>
    <w:rPr>
      <w:b/>
    </w:rPr>
  </w:style>
  <w:style w:type="paragraph" w:customStyle="1" w:styleId="a">
    <w:name w:val="中文摘要"/>
    <w:basedOn w:val="Normal"/>
    <w:next w:val="Normal"/>
    <w:qFormat/>
    <w:pPr>
      <w:widowControl w:val="0"/>
      <w:suppressAutoHyphens/>
      <w:autoSpaceDE w:val="0"/>
      <w:autoSpaceDN w:val="0"/>
      <w:snapToGrid w:val="0"/>
      <w:spacing w:before="120" w:beforeLines="50" w:line="300" w:lineRule="exact"/>
      <w:jc w:val="both"/>
    </w:pPr>
    <w:rPr>
      <w:rFonts w:ascii="Times New Roman" w:eastAsia="宋体" w:hAnsi="Times New Roman" w:cs="Times New Roman"/>
      <w:color w:val="000000"/>
      <w:kern w:val="0"/>
      <w:sz w:val="18"/>
      <w:szCs w:val="18"/>
      <w:lang w:val="zh-CN"/>
      <w14:ligatures w14:val="none"/>
    </w:rPr>
  </w:style>
  <w:style w:type="paragraph" w:customStyle="1" w:styleId="1">
    <w:name w:val="节题1"/>
    <w:basedOn w:val="Normal"/>
    <w:next w:val="Normal"/>
    <w:qFormat/>
    <w:pPr>
      <w:widowControl w:val="0"/>
      <w:suppressAutoHyphens/>
      <w:autoSpaceDE w:val="0"/>
      <w:autoSpaceDN w:val="0"/>
      <w:snapToGrid w:val="0"/>
      <w:spacing w:before="120" w:beforeLines="50" w:after="120" w:afterLines="50" w:line="314" w:lineRule="atLeast"/>
      <w:jc w:val="both"/>
    </w:pPr>
    <w:rPr>
      <w:rFonts w:ascii="Times New Roman" w:eastAsia="宋体" w:hAnsi="Times New Roman" w:cs="Times New Roman"/>
      <w:b/>
      <w:bCs/>
      <w:sz w:val="24"/>
      <w14:ligatures w14:val="none"/>
    </w:rPr>
  </w:style>
  <w:style w:type="paragraph" w:customStyle="1" w:styleId="ParaCharCharCharCharCharCharChar">
    <w:name w:val="默认段落字体 Para Char Char Char Char Char Char Char"/>
    <w:basedOn w:val="Normal"/>
    <w:qFormat/>
    <w:rPr>
      <w:rFonts w:ascii="Tahoma" w:hAnsi="Tahoma"/>
      <w:sz w:val="24"/>
      <w:szCs w:val="20"/>
    </w:rPr>
  </w:style>
  <w:style w:type="paragraph" w:customStyle="1" w:styleId="TableText">
    <w:name w:val="Table Text"/>
    <w:basedOn w:val="Normal"/>
    <w:semiHidden/>
    <w:qFormat/>
    <w:rPr>
      <w:rFonts w:ascii="Arial" w:eastAsia="Arial" w:hAnsi="Arial" w:cs="Arial"/>
      <w:sz w:val="21"/>
      <w:szCs w:val="21"/>
      <w:lang w:val="en-US" w:eastAsia="en-US" w:bidi="ar-SA"/>
    </w:rPr>
  </w:style>
  <w:style w:type="table" w:customStyle="1" w:styleId="TableNormal0">
    <w:name w:val="Table Normal_0"/>
    <w:semiHidden/>
    <w:unhideWhenUsed/>
    <w:qFormat/>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footer" Target="footer1.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1315</Words>
  <Characters>1315</Characters>
  <Application>Microsoft Office Word</Application>
  <DocSecurity>0</DocSecurity>
  <Lines>0</Lines>
  <Paragraphs>0</Paragraphs>
  <ScaleCrop>false</ScaleCrop>
  <Company/>
  <LinksUpToDate>false</LinksUpToDate>
  <CharactersWithSpaces>1318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静静听风声（王）</cp:lastModifiedBy>
  <cp:revision>0</cp:revision>
  <dcterms:created xsi:type="dcterms:W3CDTF">2026-10-19T09:01:00Z</dcterms:created>
  <dcterms:modified xsi:type="dcterms:W3CDTF">2026-11-04T12:52:21Z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713453A1D4604D6CBBCC87AEFF6CC3BC_12</vt:lpwstr>
  </property>
  <property fmtid="{D5CDD505-2E9C-101B-9397-08002B2CF9AE}" pid="3" name="KSOProductBuildVer">
    <vt:lpwstr>2052-12.1.0.29161</vt:lpwstr>
  </property>
  <property fmtid="{D5CDD505-2E9C-101B-9397-08002B2CF9AE}" pid="4" name="KSOTemplateDocerSaveRecord">
    <vt:lpwstr>eyJoZGlkIjoiOWM2ZjI5OGUwOGE0ZmQ2OWZhMDc0NTRkNTkzMzU3YWIiLCJ1c2VySWQiOiIzNTE1MDQ0MzAifQ==</vt:lpwstr>
  </property>
</Properties>
</file>