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9061D3E">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建筑工程屋面防水翻新施工技术及质量管控</w:t>
      </w:r>
    </w:p>
    <w:p w14:paraId="0C493F5B">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color w:val="000000"/>
          <w:sz w:val="21"/>
          <w:szCs w:val="21"/>
        </w:rPr>
      </w:pPr>
      <w:r>
        <w:rPr>
          <w:rFonts w:ascii="宋体" w:eastAsia="宋体" w:hAnsi="宋体" w:cs="宋体" w:hint="eastAsia"/>
          <w:b w:val="0"/>
          <w:bCs/>
          <w:color w:val="000000"/>
          <w:sz w:val="21"/>
          <w:szCs w:val="21"/>
        </w:rPr>
        <w:t>摘要</w:t>
      </w:r>
      <w:r>
        <w:rPr>
          <w:rFonts w:ascii="宋体" w:eastAsia="宋体" w:hAnsi="宋体" w:cs="宋体" w:hint="eastAsia"/>
          <w:b w:val="0"/>
          <w:bCs/>
          <w:color w:val="000000"/>
          <w:sz w:val="21"/>
          <w:szCs w:val="21"/>
          <w:lang w:eastAsia="zh-CN"/>
        </w:rPr>
        <w:t>：</w:t>
      </w:r>
      <w:r>
        <w:rPr>
          <w:rFonts w:ascii="宋体" w:eastAsia="宋体" w:hAnsi="宋体" w:cs="宋体" w:hint="eastAsia"/>
          <w:b w:val="0"/>
          <w:bCs/>
          <w:color w:val="000000"/>
          <w:sz w:val="21"/>
          <w:szCs w:val="21"/>
        </w:rPr>
        <w:t>随着城市更新的不断推进，既有建筑屋面防水翻新的需求也越来越大。本文以中煤华昱后勤服务园区2023-2025年渗漏治理工程台账为依托，对屋面渗漏易发生部位进行整理，对屋面防水翻新施工技术要点及典型部位施工工艺进行阐述，提出屋面防水翻新全过程的质量控制措施。经由实验研究得知，渗漏主要是由于防水层老化、节点处理有误、排水不畅所造成。屋面防水翻新要贯彻系统治理的理念，创建起一套完整的闭环管理的屋面防水翻新质量控制体系。</w:t>
      </w:r>
    </w:p>
    <w:p w14:paraId="6B8E71A9">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color w:val="000000"/>
          <w:sz w:val="21"/>
          <w:szCs w:val="21"/>
        </w:rPr>
      </w:pPr>
      <w:r>
        <w:rPr>
          <w:rFonts w:ascii="宋体" w:eastAsia="宋体" w:hAnsi="宋体" w:cs="宋体" w:hint="eastAsia"/>
          <w:b w:val="0"/>
          <w:bCs/>
          <w:color w:val="000000"/>
          <w:sz w:val="21"/>
          <w:szCs w:val="21"/>
        </w:rPr>
        <w:t>关键词</w:t>
      </w:r>
      <w:r>
        <w:rPr>
          <w:rFonts w:ascii="宋体" w:eastAsia="宋体" w:hAnsi="宋体" w:cs="宋体" w:hint="eastAsia"/>
          <w:b w:val="0"/>
          <w:bCs/>
          <w:color w:val="000000"/>
          <w:sz w:val="21"/>
          <w:szCs w:val="21"/>
          <w:lang w:eastAsia="zh-CN"/>
        </w:rPr>
        <w:t>：</w:t>
      </w:r>
      <w:r>
        <w:rPr>
          <w:rFonts w:ascii="宋体" w:eastAsia="宋体" w:hAnsi="宋体" w:cs="宋体" w:hint="eastAsia"/>
          <w:b w:val="0"/>
          <w:bCs/>
          <w:color w:val="000000"/>
          <w:sz w:val="21"/>
          <w:szCs w:val="21"/>
        </w:rPr>
        <w:t>屋面防水翻新；SBS改性沥青卷材</w:t>
      </w:r>
    </w:p>
    <w:p w14:paraId="6B0F0553">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引言</w:t>
      </w:r>
      <w:r>
        <w:rPr>
          <w:rFonts w:ascii="宋体" w:eastAsia="宋体" w:hAnsi="宋体" w:cs="宋体" w:hint="eastAsia"/>
          <w:b w:val="0"/>
          <w:bCs/>
          <w:color w:val="000000"/>
          <w:sz w:val="21"/>
          <w:szCs w:val="21"/>
          <w:lang w:eastAsia="zh-CN"/>
        </w:rPr>
        <w:t>中</w:t>
      </w:r>
      <w:r>
        <w:rPr>
          <w:rFonts w:ascii="宋体" w:eastAsia="宋体" w:hAnsi="宋体" w:cs="宋体" w:hint="eastAsia"/>
          <w:b w:val="0"/>
          <w:bCs/>
          <w:color w:val="000000"/>
          <w:sz w:val="21"/>
          <w:szCs w:val="21"/>
        </w:rPr>
        <w:t>提到“住建部门把‘不漏水’作为“好房子”建设的底线标准，城市更新行动使得大批服役时间比较长的园区、办公楼、公寓进入改造期，屋面防水翻新成了经常的、复杂的工作。中煤华昱后勤服务园区工程台账清楚地表现出此类矛盾，2023年至2025年屋面防水、女儿墙修复、雨水管更换、散水修补等渗漏处理项目年年立项，一个部位重复维修的情况也时有发生。通过对项目进行观察，可以了解现有的建筑屋面渗漏原因，也可以找到翻新施工及质量控制的发力点。</w:t>
      </w:r>
    </w:p>
    <w:p w14:paraId="5BA8CAF2">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lang w:val="en-US" w:eastAsia="zh-CN"/>
        </w:rPr>
        <w:t>1</w:t>
      </w:r>
      <w:r>
        <w:rPr>
          <w:rFonts w:ascii="宋体" w:eastAsia="宋体" w:hAnsi="宋体" w:cs="宋体" w:hint="eastAsia"/>
          <w:b w:val="0"/>
          <w:bCs/>
          <w:color w:val="000000"/>
          <w:sz w:val="21"/>
          <w:szCs w:val="21"/>
        </w:rPr>
        <w:t>工程概况与渗漏多发部位</w:t>
      </w:r>
      <w:bookmarkStart w:id="0" w:name="_GoBack"/>
      <w:bookmarkEnd w:id="0"/>
    </w:p>
    <w:p w14:paraId="55FB8A65">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根据园区三年维修台账统计信息可以发现，该园区既有建筑渗漏问题多发、点多，渗漏原因以屋面防水层老化失效居多，女儿墙、雨水管是容易出现渗漏的部位，散水沉降塌陷、顶棚、彩钢板和窗台处还有多个零星渗漏点，分布比较广，局部反复修补现象较为严重。表1给出了台账中和渗漏治理有关的工程，表2按照部位对工程进行了统计。</w:t>
      </w:r>
    </w:p>
    <w:p w14:paraId="6CD61C75">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表1园区2023—2025年屋面防水及渗漏治理相关工程</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024"/>
        <w:gridCol w:w="3024"/>
        <w:gridCol w:w="3024"/>
      </w:tblGrid>
      <w:tr w14:paraId="16D1D6C1">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cantSplit/>
          <w:tblHeader/>
          <w:jc w:val="center"/>
        </w:trPr>
        <w:tc>
          <w:tcPr>
            <w:tcW w:w="3024" w:type="dxa"/>
            <w:shd w:val="clear" w:color="auto" w:fill="D9D9D9"/>
            <w:vAlign w:val="center"/>
          </w:tcPr>
          <w:p w14:paraId="25509EB6">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年份</w:t>
            </w:r>
          </w:p>
        </w:tc>
        <w:tc>
          <w:tcPr>
            <w:tcW w:w="3024" w:type="dxa"/>
            <w:shd w:val="clear" w:color="auto" w:fill="D9D9D9"/>
            <w:vAlign w:val="center"/>
          </w:tcPr>
          <w:p w14:paraId="7D24D8A3">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工程名称</w:t>
            </w:r>
          </w:p>
        </w:tc>
        <w:tc>
          <w:tcPr>
            <w:tcW w:w="3024" w:type="dxa"/>
            <w:shd w:val="clear" w:color="auto" w:fill="D9D9D9"/>
            <w:vAlign w:val="center"/>
          </w:tcPr>
          <w:p w14:paraId="5BA62384">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治理部位</w:t>
            </w:r>
          </w:p>
        </w:tc>
      </w:tr>
      <w:tr w14:paraId="353E31B0">
        <w:tblPrEx>
          <w:tblW w:w="0" w:type="auto"/>
          <w:jc w:val="center"/>
          <w:tblCellMar>
            <w:top w:w="0" w:type="dxa"/>
            <w:left w:w="108" w:type="dxa"/>
            <w:bottom w:w="0" w:type="dxa"/>
            <w:right w:w="108" w:type="dxa"/>
          </w:tblCellMar>
        </w:tblPrEx>
        <w:trPr>
          <w:cantSplit/>
          <w:jc w:val="center"/>
        </w:trPr>
        <w:tc>
          <w:tcPr>
            <w:tcW w:w="3024" w:type="dxa"/>
            <w:vAlign w:val="center"/>
          </w:tcPr>
          <w:p w14:paraId="0F0EB2ED">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2023</w:t>
            </w:r>
          </w:p>
        </w:tc>
        <w:tc>
          <w:tcPr>
            <w:tcW w:w="3024" w:type="dxa"/>
            <w:vAlign w:val="center"/>
          </w:tcPr>
          <w:p w14:paraId="1203A7E3">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园区屋面防水工程</w:t>
            </w:r>
          </w:p>
        </w:tc>
        <w:tc>
          <w:tcPr>
            <w:tcW w:w="3024" w:type="dxa"/>
            <w:vAlign w:val="center"/>
          </w:tcPr>
          <w:p w14:paraId="56579AC0">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屋面防水层</w:t>
            </w:r>
          </w:p>
        </w:tc>
      </w:tr>
      <w:tr w14:paraId="11DFC8CC">
        <w:tblPrEx>
          <w:tblW w:w="0" w:type="auto"/>
          <w:jc w:val="center"/>
          <w:tblCellMar>
            <w:top w:w="0" w:type="dxa"/>
            <w:left w:w="108" w:type="dxa"/>
            <w:bottom w:w="0" w:type="dxa"/>
            <w:right w:w="108" w:type="dxa"/>
          </w:tblCellMar>
        </w:tblPrEx>
        <w:trPr>
          <w:cantSplit/>
          <w:jc w:val="center"/>
        </w:trPr>
        <w:tc>
          <w:tcPr>
            <w:tcW w:w="3024" w:type="dxa"/>
            <w:vAlign w:val="center"/>
          </w:tcPr>
          <w:p w14:paraId="6A8317EC">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2023</w:t>
            </w:r>
          </w:p>
        </w:tc>
        <w:tc>
          <w:tcPr>
            <w:tcW w:w="3024" w:type="dxa"/>
            <w:vAlign w:val="center"/>
          </w:tcPr>
          <w:p w14:paraId="292630B2">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园区专家公寓部分女儿墙维修及雨水管修缮工程</w:t>
            </w:r>
          </w:p>
        </w:tc>
        <w:tc>
          <w:tcPr>
            <w:tcW w:w="3024" w:type="dxa"/>
            <w:vAlign w:val="center"/>
          </w:tcPr>
          <w:p w14:paraId="0BD3539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女儿墙、雨水管</w:t>
            </w:r>
          </w:p>
        </w:tc>
      </w:tr>
      <w:tr w14:paraId="7C405C02">
        <w:tblPrEx>
          <w:tblW w:w="0" w:type="auto"/>
          <w:jc w:val="center"/>
          <w:tblCellMar>
            <w:top w:w="0" w:type="dxa"/>
            <w:left w:w="108" w:type="dxa"/>
            <w:bottom w:w="0" w:type="dxa"/>
            <w:right w:w="108" w:type="dxa"/>
          </w:tblCellMar>
        </w:tblPrEx>
        <w:trPr>
          <w:cantSplit/>
          <w:jc w:val="center"/>
        </w:trPr>
        <w:tc>
          <w:tcPr>
            <w:tcW w:w="3024" w:type="dxa"/>
            <w:vAlign w:val="center"/>
          </w:tcPr>
          <w:p w14:paraId="374351EB">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2023</w:t>
            </w:r>
          </w:p>
        </w:tc>
        <w:tc>
          <w:tcPr>
            <w:tcW w:w="3024" w:type="dxa"/>
            <w:vAlign w:val="center"/>
          </w:tcPr>
          <w:p w14:paraId="41573715">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园区办公楼（南北）女儿墙修缮项目</w:t>
            </w:r>
          </w:p>
        </w:tc>
        <w:tc>
          <w:tcPr>
            <w:tcW w:w="3024" w:type="dxa"/>
            <w:vAlign w:val="center"/>
          </w:tcPr>
          <w:p w14:paraId="163FB676">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女儿墙</w:t>
            </w:r>
          </w:p>
        </w:tc>
      </w:tr>
      <w:tr w14:paraId="57D62BB3">
        <w:tblPrEx>
          <w:tblW w:w="0" w:type="auto"/>
          <w:jc w:val="center"/>
          <w:tblCellMar>
            <w:top w:w="0" w:type="dxa"/>
            <w:left w:w="108" w:type="dxa"/>
            <w:bottom w:w="0" w:type="dxa"/>
            <w:right w:w="108" w:type="dxa"/>
          </w:tblCellMar>
        </w:tblPrEx>
        <w:trPr>
          <w:cantSplit/>
          <w:jc w:val="center"/>
        </w:trPr>
        <w:tc>
          <w:tcPr>
            <w:tcW w:w="3024" w:type="dxa"/>
            <w:vAlign w:val="center"/>
          </w:tcPr>
          <w:p w14:paraId="338B0E47">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2023</w:t>
            </w:r>
          </w:p>
        </w:tc>
        <w:tc>
          <w:tcPr>
            <w:tcW w:w="3024" w:type="dxa"/>
            <w:vAlign w:val="center"/>
          </w:tcPr>
          <w:p w14:paraId="2BF9C0EB">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园区6#公寓散水修复工程</w:t>
            </w:r>
          </w:p>
        </w:tc>
        <w:tc>
          <w:tcPr>
            <w:tcW w:w="3024" w:type="dxa"/>
            <w:vAlign w:val="center"/>
          </w:tcPr>
          <w:p w14:paraId="29B66A38">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散水</w:t>
            </w:r>
          </w:p>
        </w:tc>
      </w:tr>
      <w:tr w14:paraId="0CB01430">
        <w:tblPrEx>
          <w:tblW w:w="0" w:type="auto"/>
          <w:jc w:val="center"/>
          <w:tblCellMar>
            <w:top w:w="0" w:type="dxa"/>
            <w:left w:w="108" w:type="dxa"/>
            <w:bottom w:w="0" w:type="dxa"/>
            <w:right w:w="108" w:type="dxa"/>
          </w:tblCellMar>
        </w:tblPrEx>
        <w:trPr>
          <w:cantSplit/>
          <w:jc w:val="center"/>
        </w:trPr>
        <w:tc>
          <w:tcPr>
            <w:tcW w:w="3024" w:type="dxa"/>
            <w:vAlign w:val="center"/>
          </w:tcPr>
          <w:p w14:paraId="5A262D07">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2023</w:t>
            </w:r>
          </w:p>
        </w:tc>
        <w:tc>
          <w:tcPr>
            <w:tcW w:w="3024" w:type="dxa"/>
            <w:vAlign w:val="center"/>
          </w:tcPr>
          <w:p w14:paraId="2F13CDB6">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培训楼二层卫生间屋顶漏水维修（零星工程）</w:t>
            </w:r>
          </w:p>
        </w:tc>
        <w:tc>
          <w:tcPr>
            <w:tcW w:w="3024" w:type="dxa"/>
            <w:vAlign w:val="center"/>
          </w:tcPr>
          <w:p w14:paraId="4433707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屋顶、吊顶</w:t>
            </w:r>
          </w:p>
        </w:tc>
      </w:tr>
      <w:tr w14:paraId="24B14540">
        <w:tblPrEx>
          <w:tblW w:w="0" w:type="auto"/>
          <w:jc w:val="center"/>
          <w:tblCellMar>
            <w:top w:w="0" w:type="dxa"/>
            <w:left w:w="108" w:type="dxa"/>
            <w:bottom w:w="0" w:type="dxa"/>
            <w:right w:w="108" w:type="dxa"/>
          </w:tblCellMar>
        </w:tblPrEx>
        <w:trPr>
          <w:cantSplit/>
          <w:jc w:val="center"/>
        </w:trPr>
        <w:tc>
          <w:tcPr>
            <w:tcW w:w="3024" w:type="dxa"/>
            <w:vAlign w:val="center"/>
          </w:tcPr>
          <w:p w14:paraId="1703132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2024</w:t>
            </w:r>
          </w:p>
        </w:tc>
        <w:tc>
          <w:tcPr>
            <w:tcW w:w="3024" w:type="dxa"/>
            <w:vAlign w:val="center"/>
          </w:tcPr>
          <w:p w14:paraId="639A01A1">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园区宾馆屋面防水、体育馆屋面彩钢单板修复工程</w:t>
            </w:r>
          </w:p>
        </w:tc>
        <w:tc>
          <w:tcPr>
            <w:tcW w:w="3024" w:type="dxa"/>
            <w:vAlign w:val="center"/>
          </w:tcPr>
          <w:p w14:paraId="57DC0414">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屋面防水、彩钢单板</w:t>
            </w:r>
          </w:p>
        </w:tc>
      </w:tr>
      <w:tr w14:paraId="178FA48F">
        <w:tblPrEx>
          <w:tblW w:w="0" w:type="auto"/>
          <w:jc w:val="center"/>
          <w:tblCellMar>
            <w:top w:w="0" w:type="dxa"/>
            <w:left w:w="108" w:type="dxa"/>
            <w:bottom w:w="0" w:type="dxa"/>
            <w:right w:w="108" w:type="dxa"/>
          </w:tblCellMar>
        </w:tblPrEx>
        <w:trPr>
          <w:cantSplit/>
          <w:jc w:val="center"/>
        </w:trPr>
        <w:tc>
          <w:tcPr>
            <w:tcW w:w="3024" w:type="dxa"/>
            <w:vAlign w:val="center"/>
          </w:tcPr>
          <w:p w14:paraId="1FD67D5D">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2024</w:t>
            </w:r>
          </w:p>
        </w:tc>
        <w:tc>
          <w:tcPr>
            <w:tcW w:w="3024" w:type="dxa"/>
            <w:vAlign w:val="center"/>
          </w:tcPr>
          <w:p w14:paraId="5D49AB46">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园区专家公寓四周围散水塌陷修复工程</w:t>
            </w:r>
          </w:p>
        </w:tc>
        <w:tc>
          <w:tcPr>
            <w:tcW w:w="3024" w:type="dxa"/>
            <w:vAlign w:val="center"/>
          </w:tcPr>
          <w:p w14:paraId="0DC52C84">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散水</w:t>
            </w:r>
          </w:p>
        </w:tc>
      </w:tr>
      <w:tr w14:paraId="5814B7D4">
        <w:tblPrEx>
          <w:tblW w:w="0" w:type="auto"/>
          <w:jc w:val="center"/>
          <w:tblCellMar>
            <w:top w:w="0" w:type="dxa"/>
            <w:left w:w="108" w:type="dxa"/>
            <w:bottom w:w="0" w:type="dxa"/>
            <w:right w:w="108" w:type="dxa"/>
          </w:tblCellMar>
        </w:tblPrEx>
        <w:trPr>
          <w:cantSplit/>
          <w:jc w:val="center"/>
        </w:trPr>
        <w:tc>
          <w:tcPr>
            <w:tcW w:w="3024" w:type="dxa"/>
            <w:vAlign w:val="center"/>
          </w:tcPr>
          <w:p w14:paraId="27D0C9B9">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2024</w:t>
            </w:r>
          </w:p>
        </w:tc>
        <w:tc>
          <w:tcPr>
            <w:tcW w:w="3024" w:type="dxa"/>
            <w:vAlign w:val="center"/>
          </w:tcPr>
          <w:p w14:paraId="1334C3DF">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中煤华昱矿山救护中队办公楼屋面防水工程</w:t>
            </w:r>
          </w:p>
        </w:tc>
        <w:tc>
          <w:tcPr>
            <w:tcW w:w="3024" w:type="dxa"/>
            <w:vAlign w:val="center"/>
          </w:tcPr>
          <w:p w14:paraId="17B307F5">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屋面防水层</w:t>
            </w:r>
          </w:p>
        </w:tc>
      </w:tr>
      <w:tr w14:paraId="183680E6">
        <w:tblPrEx>
          <w:tblW w:w="0" w:type="auto"/>
          <w:jc w:val="center"/>
          <w:tblCellMar>
            <w:top w:w="0" w:type="dxa"/>
            <w:left w:w="108" w:type="dxa"/>
            <w:bottom w:w="0" w:type="dxa"/>
            <w:right w:w="108" w:type="dxa"/>
          </w:tblCellMar>
        </w:tblPrEx>
        <w:trPr>
          <w:cantSplit/>
          <w:jc w:val="center"/>
        </w:trPr>
        <w:tc>
          <w:tcPr>
            <w:tcW w:w="3024" w:type="dxa"/>
            <w:vAlign w:val="center"/>
          </w:tcPr>
          <w:p w14:paraId="2C2CE48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2024</w:t>
            </w:r>
          </w:p>
        </w:tc>
        <w:tc>
          <w:tcPr>
            <w:tcW w:w="3024" w:type="dxa"/>
            <w:vAlign w:val="center"/>
          </w:tcPr>
          <w:p w14:paraId="64CEB624">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办公楼生态园顶棚漏水维修工程</w:t>
            </w:r>
          </w:p>
        </w:tc>
        <w:tc>
          <w:tcPr>
            <w:tcW w:w="3024" w:type="dxa"/>
            <w:vAlign w:val="center"/>
          </w:tcPr>
          <w:p w14:paraId="0A35C09C">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顶棚</w:t>
            </w:r>
          </w:p>
        </w:tc>
      </w:tr>
      <w:tr w14:paraId="565C9BD0">
        <w:tblPrEx>
          <w:tblW w:w="0" w:type="auto"/>
          <w:jc w:val="center"/>
          <w:tblCellMar>
            <w:top w:w="0" w:type="dxa"/>
            <w:left w:w="108" w:type="dxa"/>
            <w:bottom w:w="0" w:type="dxa"/>
            <w:right w:w="108" w:type="dxa"/>
          </w:tblCellMar>
        </w:tblPrEx>
        <w:trPr>
          <w:cantSplit/>
          <w:jc w:val="center"/>
        </w:trPr>
        <w:tc>
          <w:tcPr>
            <w:tcW w:w="3024" w:type="dxa"/>
            <w:vAlign w:val="center"/>
          </w:tcPr>
          <w:p w14:paraId="3D9C0CA8">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2025</w:t>
            </w:r>
          </w:p>
        </w:tc>
        <w:tc>
          <w:tcPr>
            <w:tcW w:w="3024" w:type="dxa"/>
            <w:vAlign w:val="center"/>
          </w:tcPr>
          <w:p w14:paraId="64D18CE2">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园区警务室屋顶维修、吊顶及窗户安装</w:t>
            </w:r>
          </w:p>
        </w:tc>
        <w:tc>
          <w:tcPr>
            <w:tcW w:w="3024" w:type="dxa"/>
            <w:vAlign w:val="center"/>
          </w:tcPr>
          <w:p w14:paraId="517C8C54">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屋顶</w:t>
            </w:r>
          </w:p>
        </w:tc>
      </w:tr>
      <w:tr w14:paraId="2507C238">
        <w:tblPrEx>
          <w:tblW w:w="0" w:type="auto"/>
          <w:jc w:val="center"/>
          <w:tblCellMar>
            <w:top w:w="0" w:type="dxa"/>
            <w:left w:w="108" w:type="dxa"/>
            <w:bottom w:w="0" w:type="dxa"/>
            <w:right w:w="108" w:type="dxa"/>
          </w:tblCellMar>
        </w:tblPrEx>
        <w:trPr>
          <w:cantSplit/>
          <w:jc w:val="center"/>
        </w:trPr>
        <w:tc>
          <w:tcPr>
            <w:tcW w:w="3024" w:type="dxa"/>
            <w:vAlign w:val="center"/>
          </w:tcPr>
          <w:p w14:paraId="5B0F03C3">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2025</w:t>
            </w:r>
          </w:p>
        </w:tc>
        <w:tc>
          <w:tcPr>
            <w:tcW w:w="3024" w:type="dxa"/>
            <w:vAlign w:val="center"/>
          </w:tcPr>
          <w:p w14:paraId="36E0EE17">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园区1-5号公寓楼和电厂食堂屋顶防水及维修</w:t>
            </w:r>
          </w:p>
        </w:tc>
        <w:tc>
          <w:tcPr>
            <w:tcW w:w="3024" w:type="dxa"/>
            <w:vAlign w:val="center"/>
          </w:tcPr>
          <w:p w14:paraId="6CAAC6D7">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屋面防水层</w:t>
            </w:r>
          </w:p>
        </w:tc>
      </w:tr>
      <w:tr w14:paraId="3AB9E5C5">
        <w:tblPrEx>
          <w:tblW w:w="0" w:type="auto"/>
          <w:jc w:val="center"/>
          <w:tblCellMar>
            <w:top w:w="0" w:type="dxa"/>
            <w:left w:w="108" w:type="dxa"/>
            <w:bottom w:w="0" w:type="dxa"/>
            <w:right w:w="108" w:type="dxa"/>
          </w:tblCellMar>
        </w:tblPrEx>
        <w:trPr>
          <w:cantSplit/>
          <w:jc w:val="center"/>
        </w:trPr>
        <w:tc>
          <w:tcPr>
            <w:tcW w:w="3024" w:type="dxa"/>
            <w:vAlign w:val="center"/>
          </w:tcPr>
          <w:p w14:paraId="6CD2FC6F">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2025</w:t>
            </w:r>
          </w:p>
        </w:tc>
        <w:tc>
          <w:tcPr>
            <w:tcW w:w="3024" w:type="dxa"/>
            <w:vAlign w:val="center"/>
          </w:tcPr>
          <w:p w14:paraId="53660643">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2025年园区礼堂女儿墙修复项目</w:t>
            </w:r>
          </w:p>
        </w:tc>
        <w:tc>
          <w:tcPr>
            <w:tcW w:w="3024" w:type="dxa"/>
            <w:vAlign w:val="center"/>
          </w:tcPr>
          <w:p w14:paraId="1C73B471">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女儿墙</w:t>
            </w:r>
          </w:p>
        </w:tc>
      </w:tr>
      <w:tr w14:paraId="1CF18410">
        <w:tblPrEx>
          <w:tblW w:w="0" w:type="auto"/>
          <w:jc w:val="center"/>
          <w:tblCellMar>
            <w:top w:w="0" w:type="dxa"/>
            <w:left w:w="108" w:type="dxa"/>
            <w:bottom w:w="0" w:type="dxa"/>
            <w:right w:w="108" w:type="dxa"/>
          </w:tblCellMar>
        </w:tblPrEx>
        <w:trPr>
          <w:cantSplit/>
          <w:jc w:val="center"/>
        </w:trPr>
        <w:tc>
          <w:tcPr>
            <w:tcW w:w="3024" w:type="dxa"/>
            <w:vAlign w:val="center"/>
          </w:tcPr>
          <w:p w14:paraId="045C2569">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2025</w:t>
            </w:r>
          </w:p>
        </w:tc>
        <w:tc>
          <w:tcPr>
            <w:tcW w:w="3024" w:type="dxa"/>
            <w:vAlign w:val="center"/>
          </w:tcPr>
          <w:p w14:paraId="22B0ADCC">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园区1-6号公寓外墙维修及6号公寓11楼阳台窗户打胶</w:t>
            </w:r>
          </w:p>
        </w:tc>
        <w:tc>
          <w:tcPr>
            <w:tcW w:w="3024" w:type="dxa"/>
            <w:vAlign w:val="center"/>
          </w:tcPr>
          <w:p w14:paraId="07B085A7">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外墙、窗台</w:t>
            </w:r>
          </w:p>
        </w:tc>
      </w:tr>
    </w:tbl>
    <w:p w14:paraId="65A21A15">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表2渗漏多发部位与工程分布</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024"/>
        <w:gridCol w:w="3024"/>
        <w:gridCol w:w="3024"/>
      </w:tblGrid>
      <w:tr w14:paraId="5961E4EC">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cantSplit/>
          <w:tblHeader/>
          <w:jc w:val="center"/>
        </w:trPr>
        <w:tc>
          <w:tcPr>
            <w:tcW w:w="3024" w:type="dxa"/>
            <w:shd w:val="clear" w:color="auto" w:fill="D9D9D9"/>
            <w:vAlign w:val="center"/>
          </w:tcPr>
          <w:p w14:paraId="0715480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渗漏部位</w:t>
            </w:r>
          </w:p>
        </w:tc>
        <w:tc>
          <w:tcPr>
            <w:tcW w:w="3024" w:type="dxa"/>
            <w:shd w:val="clear" w:color="auto" w:fill="D9D9D9"/>
            <w:vAlign w:val="center"/>
          </w:tcPr>
          <w:p w14:paraId="0F30BFE9">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对应工程（年份）</w:t>
            </w:r>
          </w:p>
        </w:tc>
        <w:tc>
          <w:tcPr>
            <w:tcW w:w="3024" w:type="dxa"/>
            <w:shd w:val="clear" w:color="auto" w:fill="D9D9D9"/>
            <w:vAlign w:val="center"/>
          </w:tcPr>
          <w:p w14:paraId="13BDE518">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项数</w:t>
            </w:r>
          </w:p>
        </w:tc>
      </w:tr>
      <w:tr w14:paraId="60BC6C03">
        <w:tblPrEx>
          <w:tblW w:w="0" w:type="auto"/>
          <w:jc w:val="center"/>
          <w:tblCellMar>
            <w:top w:w="0" w:type="dxa"/>
            <w:left w:w="108" w:type="dxa"/>
            <w:bottom w:w="0" w:type="dxa"/>
            <w:right w:w="108" w:type="dxa"/>
          </w:tblCellMar>
        </w:tblPrEx>
        <w:trPr>
          <w:cantSplit/>
          <w:jc w:val="center"/>
        </w:trPr>
        <w:tc>
          <w:tcPr>
            <w:tcW w:w="3024" w:type="dxa"/>
            <w:vAlign w:val="center"/>
          </w:tcPr>
          <w:p w14:paraId="7DEC0D73">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屋面防水层</w:t>
            </w:r>
          </w:p>
        </w:tc>
        <w:tc>
          <w:tcPr>
            <w:tcW w:w="3024" w:type="dxa"/>
            <w:vAlign w:val="center"/>
          </w:tcPr>
          <w:p w14:paraId="01292DFD">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园区屋面（2023）、宾馆及体育馆屋面（2024）、矿山救护中队办公楼（2024）、警务室屋顶（2025）、1-5号公寓楼及电厂食堂（2025）</w:t>
            </w:r>
          </w:p>
        </w:tc>
        <w:tc>
          <w:tcPr>
            <w:tcW w:w="3024" w:type="dxa"/>
            <w:vAlign w:val="center"/>
          </w:tcPr>
          <w:p w14:paraId="051F844A">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5</w:t>
            </w:r>
          </w:p>
        </w:tc>
      </w:tr>
      <w:tr w14:paraId="2C0C238A">
        <w:tblPrEx>
          <w:tblW w:w="0" w:type="auto"/>
          <w:jc w:val="center"/>
          <w:tblCellMar>
            <w:top w:w="0" w:type="dxa"/>
            <w:left w:w="108" w:type="dxa"/>
            <w:bottom w:w="0" w:type="dxa"/>
            <w:right w:w="108" w:type="dxa"/>
          </w:tblCellMar>
        </w:tblPrEx>
        <w:trPr>
          <w:cantSplit/>
          <w:jc w:val="center"/>
        </w:trPr>
        <w:tc>
          <w:tcPr>
            <w:tcW w:w="3024" w:type="dxa"/>
            <w:vAlign w:val="center"/>
          </w:tcPr>
          <w:p w14:paraId="66F64205">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女儿墙、雨水管</w:t>
            </w:r>
          </w:p>
        </w:tc>
        <w:tc>
          <w:tcPr>
            <w:tcW w:w="3024" w:type="dxa"/>
            <w:vAlign w:val="center"/>
          </w:tcPr>
          <w:p w14:paraId="59B87A59">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专家公寓女儿墙及雨水管（2023）、办公楼南北女儿墙（2023）、礼堂女儿墙（2025）</w:t>
            </w:r>
          </w:p>
        </w:tc>
        <w:tc>
          <w:tcPr>
            <w:tcW w:w="3024" w:type="dxa"/>
            <w:vAlign w:val="center"/>
          </w:tcPr>
          <w:p w14:paraId="4C6D8DFF">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3</w:t>
            </w:r>
          </w:p>
        </w:tc>
      </w:tr>
      <w:tr w14:paraId="39286418">
        <w:tblPrEx>
          <w:tblW w:w="0" w:type="auto"/>
          <w:jc w:val="center"/>
          <w:tblCellMar>
            <w:top w:w="0" w:type="dxa"/>
            <w:left w:w="108" w:type="dxa"/>
            <w:bottom w:w="0" w:type="dxa"/>
            <w:right w:w="108" w:type="dxa"/>
          </w:tblCellMar>
        </w:tblPrEx>
        <w:trPr>
          <w:cantSplit/>
          <w:jc w:val="center"/>
        </w:trPr>
        <w:tc>
          <w:tcPr>
            <w:tcW w:w="3024" w:type="dxa"/>
            <w:vAlign w:val="center"/>
          </w:tcPr>
          <w:p w14:paraId="1C91B8B3">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散水</w:t>
            </w:r>
          </w:p>
        </w:tc>
        <w:tc>
          <w:tcPr>
            <w:tcW w:w="3024" w:type="dxa"/>
            <w:vAlign w:val="center"/>
          </w:tcPr>
          <w:p w14:paraId="128B04E7">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6#公寓散水（2023）、专家公寓四周围散水（2024）</w:t>
            </w:r>
          </w:p>
        </w:tc>
        <w:tc>
          <w:tcPr>
            <w:tcW w:w="3024" w:type="dxa"/>
            <w:vAlign w:val="center"/>
          </w:tcPr>
          <w:p w14:paraId="3A0A9DC6">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2</w:t>
            </w:r>
          </w:p>
        </w:tc>
      </w:tr>
      <w:tr w14:paraId="369C876E">
        <w:tblPrEx>
          <w:tblW w:w="0" w:type="auto"/>
          <w:jc w:val="center"/>
          <w:tblCellMar>
            <w:top w:w="0" w:type="dxa"/>
            <w:left w:w="108" w:type="dxa"/>
            <w:bottom w:w="0" w:type="dxa"/>
            <w:right w:w="108" w:type="dxa"/>
          </w:tblCellMar>
        </w:tblPrEx>
        <w:trPr>
          <w:cantSplit/>
          <w:jc w:val="center"/>
        </w:trPr>
        <w:tc>
          <w:tcPr>
            <w:tcW w:w="3024" w:type="dxa"/>
            <w:vAlign w:val="center"/>
          </w:tcPr>
          <w:p w14:paraId="7933A38F">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顶棚、彩钢板、窗台</w:t>
            </w:r>
          </w:p>
        </w:tc>
        <w:tc>
          <w:tcPr>
            <w:tcW w:w="3024" w:type="dxa"/>
            <w:vAlign w:val="center"/>
          </w:tcPr>
          <w:p w14:paraId="5B58E66D">
            <w:pPr>
              <w:keepLines w:val="0"/>
              <w:pageBreakBefore w:val="0"/>
              <w:widowControl/>
              <w:kinsoku/>
              <w:wordWrap/>
              <w:overflowPunct/>
              <w:topLinePunct w:val="0"/>
              <w:autoSpaceDE/>
              <w:autoSpaceDN/>
              <w:bidi w:val="0"/>
              <w:adjustRightInd/>
              <w:snapToGrid/>
              <w:spacing w:after="0" w:line="360" w:lineRule="auto"/>
              <w:jc w:val="left"/>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培训楼屋顶吊顶（2023）、办公楼生态园顶棚（2024）、体育馆彩钢单板（2024）、公寓阳台窗打胶（2025）</w:t>
            </w:r>
          </w:p>
        </w:tc>
        <w:tc>
          <w:tcPr>
            <w:tcW w:w="3024" w:type="dxa"/>
            <w:vAlign w:val="center"/>
          </w:tcPr>
          <w:p w14:paraId="5B6DB6A4">
            <w:pPr>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4</w:t>
            </w:r>
          </w:p>
        </w:tc>
      </w:tr>
    </w:tbl>
    <w:p w14:paraId="3336866F">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lang w:val="en-US" w:eastAsia="zh-CN"/>
        </w:rPr>
        <w:t>2</w:t>
      </w:r>
      <w:r>
        <w:rPr>
          <w:rFonts w:ascii="宋体" w:eastAsia="宋体" w:hAnsi="宋体" w:cs="宋体" w:hint="eastAsia"/>
          <w:b w:val="0"/>
          <w:bCs/>
          <w:color w:val="000000"/>
          <w:sz w:val="21"/>
          <w:szCs w:val="21"/>
        </w:rPr>
        <w:t>屋面防水翻新施工技术要点</w:t>
      </w:r>
    </w:p>
    <w:p w14:paraId="27A3C8DB">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防水层整层老化造成翻新只能从基层做起。多年的原防水层与基层粘结效果变差，直接在原面上铺设新的卷材容易造成空鼓、二次渗漏，所以首先要清除失效面层、清理松散找平层、修补开裂处。基层达到干燥、平整、无起砂、含水率合格后，防水层才可以获得可靠的粘结基础，此环节直接关系到翻新的成败。</w:t>
      </w:r>
    </w:p>
    <w:p w14:paraId="2A137F44">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屋面面积大、节点多，SBS改性沥青防水卷材和聚氨酯防水涂料联合使用较为可靠，大面积使用卷材保证防水层的完整性，细部节点用涂料增强密封。卷材铺贴方向、搭接宽度及压实方法有严格规定，长边搭接不应小于80mm，短边不应小于100mm，搭接处需压紧排气，防止翘边进水。</w:t>
      </w:r>
    </w:p>
    <w:p w14:paraId="4F2C2754">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排水坡度是很容易被忽略的环节，决定着排水坡度好坏。屋面找坡不足会造成积水，防水层长期浸泡加速老化，渗漏也会随之出现。找坡层厚度与坡度的关系为i=h/L，i为找坡坡度，h为找坡层两边的高差，L为分水线到排水口的距离。根据现行规范，材料找坡坡度宜为2%，檐沟纵向坡度不小于1%。园区多次渗漏与局部排水不畅、雨水滞留有关，翻新时要对分水线和排水口的位置进行逐一复查，保证雨水能及时排出。</w:t>
      </w:r>
    </w:p>
    <w:p w14:paraId="3CAD422A">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lang w:val="en-US" w:eastAsia="zh-CN"/>
        </w:rPr>
        <w:t>3</w:t>
      </w:r>
      <w:r>
        <w:rPr>
          <w:rFonts w:ascii="宋体" w:eastAsia="宋体" w:hAnsi="宋体" w:cs="宋体" w:hint="eastAsia"/>
          <w:b w:val="0"/>
          <w:bCs/>
          <w:color w:val="000000"/>
          <w:sz w:val="21"/>
          <w:szCs w:val="21"/>
        </w:rPr>
        <w:t>典型部位的翻新工艺</w:t>
      </w:r>
    </w:p>
    <w:p w14:paraId="139B8228">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女儿墙根部泛水受温度应力、结构变形的影响最大，卷材在女儿墙根部应上翻并压入凹槽固定，收头用金属压条、密封膏封严，上翻高度符合规范要求。雨水管口周边必须设附加层做漏斗口密封，否则雨水就会从管壁渗入。专家公寓、办公楼南北、礼堂三个女儿墙工程多次进行立项，就是对女儿墙这一部位翻修不彻底会造成返修的证明。</w:t>
      </w:r>
    </w:p>
    <w:p w14:paraId="59837144">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散水塌陷表面上是地面的问题，实际上和墙角渗漏有直接联系。散水和外墙一脱扣、一沉降，雨水就顺着裂缝渗入到墙基里。修复时要夯实基础、重新做垫层，并与墙体留有沉降缝，用柔性材料嵌缝，隔绝雨水下渗。</w:t>
      </w:r>
    </w:p>
    <w:p w14:paraId="28EB2618">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体育馆屋面彩钢单板维修属于金属屋面渗漏，主要是对接缝密封和固定件处的防水，翻新时需除去锈蚀、更换密封垫重新涂胶，还要考虑由于板材热胀冷缩引起的密封效果的影响。此类渗漏大多同板材变形、固定点松动有联系，其处理的难易程度一般比混凝土屋面要大。</w:t>
      </w:r>
    </w:p>
    <w:p w14:paraId="78495499">
      <w:pPr>
        <w:keepNext/>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lang w:val="en-US" w:eastAsia="zh-CN"/>
        </w:rPr>
        <w:t>4</w:t>
      </w:r>
      <w:r>
        <w:rPr>
          <w:rFonts w:ascii="宋体" w:eastAsia="宋体" w:hAnsi="宋体" w:cs="宋体" w:hint="eastAsia"/>
          <w:b w:val="0"/>
          <w:bCs/>
          <w:color w:val="000000"/>
          <w:sz w:val="21"/>
          <w:szCs w:val="21"/>
        </w:rPr>
        <w:t>质量管控措施</w:t>
      </w:r>
    </w:p>
    <w:p w14:paraId="29013B42">
      <w:pPr>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质量控制必须从翻新开始。材</w:t>
      </w:r>
      <w:r>
        <w:rPr>
          <w:rFonts w:ascii="宋体" w:eastAsia="宋体" w:hAnsi="宋体" w:cs="宋体" w:hint="eastAsia"/>
          <w:b w:val="0"/>
          <w:bCs/>
          <w:color w:val="000000"/>
          <w:sz w:val="21"/>
          <w:szCs w:val="21"/>
          <w:lang w:val="en-US" w:eastAsia="zh-CN"/>
        </w:rPr>
        <w:t>料进场</w:t>
      </w:r>
      <w:r>
        <w:rPr>
          <w:rFonts w:ascii="宋体" w:eastAsia="宋体" w:hAnsi="宋体" w:cs="宋体" w:hint="eastAsia"/>
          <w:b w:val="0"/>
          <w:bCs/>
          <w:color w:val="000000"/>
          <w:sz w:val="21"/>
          <w:szCs w:val="21"/>
        </w:rPr>
        <w:t>要核对合格证及检测报告，卷材厚度、拉伸强度、延伸率等应符合设计要求，不得以次充好。基层验收防水层施工前要做隐蔽工程检查，卷材铺贴、搭接、附加层收头等部位覆盖之前逐个检查并做好记录。蓄水试验是防水工程质量检查最直接、最有效的一种方法，翻新结束之后，屋面蓄水最浅处蓄水深度不得小于20mm，蓄水时间不少于24h，无渗漏后才能进行保护层施工。成品保护也不能松懈，保护层施工及后续作业不能破坏防水层，细部节点部位要有专人看护。通过对于园区1至6号公寓外墙维修及6号公寓11楼阳台窗户打胶零星工程的考察可知，外围护体系渗漏容易互相影响，窗台打胶、外墙修补和屋面翻新应该同时进行，避免出现一处漏一处的割裂式治理。</w:t>
      </w:r>
    </w:p>
    <w:p w14:paraId="2FED13B1">
      <w:pPr>
        <w:keepNext/>
        <w:keepLines w:val="0"/>
        <w:pageBreakBefore w:val="0"/>
        <w:widowControl/>
        <w:kinsoku/>
        <w:wordWrap/>
        <w:overflowPunct/>
        <w:topLinePunct w:val="0"/>
        <w:autoSpaceDE/>
        <w:autoSpaceDN/>
        <w:bidi w:val="0"/>
        <w:adjustRightInd/>
        <w:snapToGrid/>
        <w:spacing w:after="0" w:line="360" w:lineRule="auto"/>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lang w:val="en-US" w:eastAsia="zh-CN"/>
        </w:rPr>
        <w:t>5</w:t>
      </w:r>
      <w:r>
        <w:rPr>
          <w:rFonts w:ascii="宋体" w:eastAsia="宋体" w:hAnsi="宋体" w:cs="宋体" w:hint="eastAsia"/>
          <w:b w:val="0"/>
          <w:bCs/>
          <w:color w:val="000000"/>
          <w:sz w:val="21"/>
          <w:szCs w:val="21"/>
        </w:rPr>
        <w:t>从应急维修走向系统治理</w:t>
      </w:r>
    </w:p>
    <w:p w14:paraId="72F5DA71">
      <w:pPr>
        <w:keepLines w:val="0"/>
        <w:pageBreakBefore w:val="0"/>
        <w:widowControl/>
        <w:kinsoku/>
        <w:wordWrap/>
        <w:overflowPunct/>
        <w:topLinePunct w:val="0"/>
        <w:autoSpaceDE/>
        <w:autoSpaceDN/>
        <w:bidi w:val="0"/>
        <w:adjustRightInd/>
        <w:snapToGrid/>
        <w:spacing w:after="0" w:line="360" w:lineRule="auto"/>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园区三年台账带来的最直接启示就是渗漏治理是靠应急维修来维持的。对于同一个地方多次立项，就说明每一次翻新只解决了表面的问题，并没有找到根本的原因。城市更新和“好房子”建设双管齐下的大环境之下，防水翻新不能继续使用旧的方式。更好的办法就是创建渗漏台账及健康检测体系，先对屋面、节点及排水系统整体状况进行诊断，然后提出相应的翻新计划，施工时加强过程控制，完工后通过回访以及蓄水测试来检验效果，从而形成一套完整的诊断、翻新、验收、回访的工作闭环。把零星维修变成系统的治理，可以减少重复投资，又能让有限的经费用在重点部位，符合绿色低碳、精细管理的政策导向。</w:t>
      </w:r>
    </w:p>
    <w:p w14:paraId="77088450">
      <w:pPr>
        <w:keepNext/>
        <w:keepLines w:val="0"/>
        <w:pageBreakBefore w:val="0"/>
        <w:widowControl/>
        <w:kinsoku/>
        <w:wordWrap/>
        <w:overflowPunct/>
        <w:topLinePunct w:val="0"/>
        <w:autoSpaceDE/>
        <w:autoSpaceDN/>
        <w:bidi w:val="0"/>
        <w:adjustRightInd/>
        <w:snapToGrid/>
        <w:spacing w:after="0" w:line="360" w:lineRule="auto"/>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结语</w:t>
      </w:r>
    </w:p>
    <w:p w14:paraId="70466886">
      <w:pPr>
        <w:keepLines w:val="0"/>
        <w:pageBreakBefore w:val="0"/>
        <w:widowControl/>
        <w:kinsoku/>
        <w:wordWrap/>
        <w:overflowPunct/>
        <w:topLinePunct w:val="0"/>
        <w:autoSpaceDE/>
        <w:autoSpaceDN/>
        <w:bidi w:val="0"/>
        <w:adjustRightInd/>
        <w:snapToGrid/>
        <w:spacing w:after="0" w:line="360" w:lineRule="auto"/>
        <w:textAlignment w:val="auto"/>
        <w:rPr>
          <w:rFonts w:ascii="宋体" w:eastAsia="宋体" w:hAnsi="宋体" w:cs="宋体" w:hint="eastAsia"/>
          <w:b w:val="0"/>
          <w:bCs/>
          <w:sz w:val="21"/>
          <w:szCs w:val="21"/>
        </w:rPr>
      </w:pPr>
      <w:r>
        <w:rPr>
          <w:rFonts w:ascii="宋体" w:eastAsia="宋体" w:hAnsi="宋体" w:cs="宋体" w:hint="eastAsia"/>
          <w:b w:val="0"/>
          <w:bCs/>
          <w:color w:val="000000"/>
          <w:sz w:val="21"/>
          <w:szCs w:val="21"/>
        </w:rPr>
        <w:t>屋面防水翻新虽然表面看只是零星的修补工作，但是实际上是关系使用安全、居住品质的大工程。中煤华昱园区三年维修台账显示渗漏原因是防水层老化、细部节点损坏共同造成的，翻新施工要基层处理、材料选型、排水复核和节点工艺一起做，质量控制要落实到材料验收、隐蔽检查、蓄水试验、成品保护的每一个环节。从“坏了再修”到“诊断先行、系统治理、闭环控制”，就是对既有建筑维修的现实需要，也是“好房子”建设所必须的。</w:t>
      </w:r>
    </w:p>
    <w:sectPr>
      <w:pgSz w:w="11906" w:h="16838"/>
      <w:pgMar w:top="1417" w:right="1417" w:bottom="1417" w:left="1417"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3"/>
    <w:panose1 w:val="00000000000000000000"/>
    <w:charset w:val="80"/>
    <w:family w:val="roman"/>
    <w:pitch w:val="default"/>
    <w:sig w:usb0="00000000" w:usb1="00000000" w:usb2="00000010" w:usb3="00000000" w:csb0="00060001"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仓耳渔阳体 W03">
    <w:panose1 w:val="02020400000000000000"/>
    <w:charset w:val="80"/>
    <w:family w:val="auto"/>
    <w:pitch w:val="default"/>
    <w:sig w:usb0="80000023" w:usb1="08C1045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 w:val="0C9D5663"/>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semiHidden="0" w:qFormat="1"/>
    <w:lsdException w:name="toa heading"/>
    <w:lsdException w:name="List" w:semiHidden="0" w:qFormat="1"/>
    <w:lsdException w:name="List Bullet" w:semiHidden="0"/>
    <w:lsdException w:name="List Number" w:semiHidden="0" w:qFormat="1"/>
    <w:lsdException w:name="List 2" w:semiHidden="0" w:qFormat="1"/>
    <w:lsdException w:name="List 3" w:semiHidden="0"/>
    <w:lsdException w:name="List 4"/>
    <w:lsdException w:name="List 5"/>
    <w:lsdException w:name="List Bullet 2" w:semiHidden="0" w:qFormat="1"/>
    <w:lsdException w:name="List Bullet 3" w:semiHidden="0" w:qFormat="1"/>
    <w:lsdException w:name="List Bullet 4"/>
    <w:lsdException w:name="List Bullet 5"/>
    <w:lsdException w:name="List Number 2" w:semiHidden="0" w:qFormat="1"/>
    <w:lsdException w:name="List Number 3" w:semiHidden="0" w:qFormat="1"/>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lsdException w:name="Body Text Indent"/>
    <w:lsdException w:name="List Continue" w:semiHidden="0" w:qFormat="1"/>
    <w:lsdException w:name="List Continue 2" w:semiHidden="0" w:qFormat="1"/>
    <w:lsdException w:name="List Continue 3" w:semiHidden="0" w:qFormat="1"/>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qFormat="1"/>
    <w:lsdException w:name="Body Text 3" w:semiHidden="0" w:qFormat="1"/>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qFormat="1"/>
    <w:lsdException w:name="Table Theme"/>
    <w:lsdException w:name="No Spacing" w:semiHidden="0" w:uiPriority="1" w:unhideWhenUsed="0" w:qFormat="1"/>
    <w:lsdException w:name="Light Shading" w:semiHidden="0" w:uiPriority="60" w:unhideWhenUsed="0" w:qFormat="1"/>
    <w:lsdException w:name="Light List" w:semiHidden="0" w:uiPriority="61" w:unhideWhenUsed="0" w:qFormat="1"/>
    <w:lsdException w:name="Light Grid" w:semiHidden="0" w:uiPriority="62" w:unhideWhenUsed="0" w:qFormat="1"/>
    <w:lsdException w:name="Medium Shading 1" w:semiHidden="0" w:uiPriority="63" w:unhideWhenUsed="0" w:qFormat="1"/>
    <w:lsdException w:name="Medium Shading 2" w:semiHidden="0" w:uiPriority="64" w:unhideWhenUsed="0" w:qFormat="1"/>
    <w:lsdException w:name="Medium List 1" w:semiHidden="0" w:uiPriority="65" w:unhideWhenUsed="0" w:qFormat="1"/>
    <w:lsdException w:name="Medium List 2" w:semiHidden="0" w:uiPriority="66" w:unhideWhenUsed="0" w:qFormat="1"/>
    <w:lsdException w:name="Medium Grid 1" w:semiHidden="0" w:uiPriority="67" w:unhideWhenUsed="0" w:qFormat="1"/>
    <w:lsdException w:name="Medium Grid 2" w:semiHidden="0" w:uiPriority="68" w:unhideWhenUsed="0" w:qFormat="1"/>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qFormat="1"/>
    <w:lsdException w:name="Light Grid Accent 1" w:semiHidden="0" w:uiPriority="62" w:unhideWhenUsed="0" w:qFormat="1"/>
    <w:lsdException w:name="Medium Shading 1 Accent 1" w:semiHidden="0" w:uiPriority="63" w:unhideWhenUsed="0" w:qFormat="1"/>
    <w:lsdException w:name="Medium Shading 2 Accent 1" w:semiHidden="0" w:uiPriority="64" w:unhideWhenUsed="0" w:qFormat="1"/>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qFormat="1"/>
    <w:lsdException w:name="Medium Grid 1 Accent 1" w:semiHidden="0" w:uiPriority="67" w:unhideWhenUsed="0" w:qFormat="1"/>
    <w:lsdException w:name="Medium Grid 2 Accent 1" w:semiHidden="0" w:uiPriority="68" w:unhideWhenUsed="0" w:qFormat="1"/>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qFormat="1"/>
    <w:lsdException w:name="Light Grid Accent 2" w:semiHidden="0" w:uiPriority="62" w:unhideWhenUsed="0" w:qFormat="1"/>
    <w:lsdException w:name="Medium Shading 1 Accent 2" w:semiHidden="0" w:uiPriority="63" w:unhideWhenUsed="0" w:qFormat="1"/>
    <w:lsdException w:name="Medium Shading 2 Accent 2" w:semiHidden="0" w:uiPriority="64" w:unhideWhenUsed="0" w:qFormat="1"/>
    <w:lsdException w:name="Medium List 1 Accent 2" w:semiHidden="0" w:uiPriority="65" w:unhideWhenUsed="0" w:qFormat="1"/>
    <w:lsdException w:name="Medium List 2 Accent 2" w:semiHidden="0" w:uiPriority="66" w:unhideWhenUsed="0" w:qFormat="1"/>
    <w:lsdException w:name="Medium Grid 1 Accent 2" w:semiHidden="0" w:uiPriority="67" w:unhideWhenUsed="0" w:qFormat="1"/>
    <w:lsdException w:name="Medium Grid 2 Accent 2" w:semiHidden="0" w:uiPriority="68" w:unhideWhenUsed="0" w:qFormat="1"/>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qFormat="1"/>
    <w:lsdException w:name="Light Shading Accent 3" w:semiHidden="0" w:uiPriority="60" w:unhideWhenUsed="0" w:qFormat="1"/>
    <w:lsdException w:name="Light List Accent 3" w:semiHidden="0" w:uiPriority="61" w:unhideWhenUsed="0" w:qFormat="1"/>
    <w:lsdException w:name="Light Grid Accent 3" w:semiHidden="0" w:uiPriority="62" w:unhideWhenUsed="0" w:qFormat="1"/>
    <w:lsdException w:name="Medium Shading 1 Accent 3" w:semiHidden="0" w:uiPriority="63" w:unhideWhenUsed="0" w:qFormat="1"/>
    <w:lsdException w:name="Medium Shading 2 Accent 3" w:semiHidden="0" w:uiPriority="64" w:unhideWhenUsed="0" w:qFormat="1"/>
    <w:lsdException w:name="Medium List 1 Accent 3" w:semiHidden="0" w:uiPriority="65" w:unhideWhenUsed="0" w:qFormat="1"/>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qFormat="1"/>
    <w:lsdException w:name="Medium Grid 3 Accent 3" w:semiHidden="0" w:uiPriority="69" w:unhideWhenUsed="0"/>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qFormat="1"/>
    <w:lsdException w:name="Light Shading Accent 4" w:semiHidden="0" w:uiPriority="60" w:unhideWhenUsed="0" w:qFormat="1"/>
    <w:lsdException w:name="Light List Accent 4" w:semiHidden="0" w:uiPriority="61" w:unhideWhenUsed="0" w:qFormat="1"/>
    <w:lsdException w:name="Light Grid Accent 4" w:semiHidden="0" w:uiPriority="62" w:unhideWhenUsed="0" w:qFormat="1"/>
    <w:lsdException w:name="Medium Shading 1 Accent 4" w:semiHidden="0" w:uiPriority="63" w:unhideWhenUsed="0" w:qFormat="1"/>
    <w:lsdException w:name="Medium Shading 2 Accent 4" w:semiHidden="0" w:uiPriority="64" w:unhideWhenUsed="0" w:qFormat="1"/>
    <w:lsdException w:name="Medium List 1 Accent 4" w:semiHidden="0" w:uiPriority="65" w:unhideWhenUsed="0" w:qFormat="1"/>
    <w:lsdException w:name="Medium List 2 Accent 4" w:semiHidden="0" w:uiPriority="66" w:unhideWhenUsed="0" w:qFormat="1"/>
    <w:lsdException w:name="Medium Grid 1 Accent 4" w:semiHidden="0" w:uiPriority="67" w:unhideWhenUsed="0" w:qFormat="1"/>
    <w:lsdException w:name="Medium Grid 2 Accent 4" w:semiHidden="0" w:uiPriority="68" w:unhideWhenUsed="0" w:qFormat="1"/>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qFormat="1"/>
    <w:lsdException w:name="Light Shading Accent 5" w:semiHidden="0" w:uiPriority="60" w:unhideWhenUsed="0" w:qFormat="1"/>
    <w:lsdException w:name="Light List Accent 5" w:semiHidden="0" w:uiPriority="61" w:unhideWhenUsed="0" w:qFormat="1"/>
    <w:lsdException w:name="Light Grid Accent 5" w:semiHidden="0" w:uiPriority="62" w:unhideWhenUsed="0" w:qFormat="1"/>
    <w:lsdException w:name="Medium Shading 1 Accent 5" w:semiHidden="0" w:uiPriority="63" w:unhideWhenUsed="0" w:qFormat="1"/>
    <w:lsdException w:name="Medium Shading 2 Accent 5" w:semiHidden="0" w:uiPriority="64" w:unhideWhenUsed="0" w:qFormat="1"/>
    <w:lsdException w:name="Medium List 1 Accent 5" w:semiHidden="0" w:uiPriority="65" w:unhideWhenUsed="0" w:qFormat="1"/>
    <w:lsdException w:name="Medium List 2 Accent 5" w:semiHidden="0" w:uiPriority="66" w:unhideWhenUsed="0"/>
    <w:lsdException w:name="Medium Grid 1 Accent 5" w:semiHidden="0" w:uiPriority="67" w:unhideWhenUsed="0" w:qFormat="1"/>
    <w:lsdException w:name="Medium Grid 2 Accent 5" w:semiHidden="0" w:uiPriority="68" w:unhideWhenUsed="0" w:qFormat="1"/>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qFormat="1"/>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qFormat="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bidi="ar-SA"/>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76092"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14:textFill>
        <w14:solidFill>
          <w14:schemeClr w14:val="accent1"/>
        </w14:solidFill>
      </w14:textFil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14:textFill>
        <w14:solidFill>
          <w14:schemeClr w14:val="accent1"/>
        </w14:solidFill>
      </w14:textFill>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14:textFill>
        <w14:solidFill>
          <w14:schemeClr w14:val="accent1"/>
        </w14:solidFill>
      </w14:textFill>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5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5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14:textFill>
        <w14:solidFill>
          <w14:schemeClr w14:val="accent1"/>
        </w14:solidFill>
      </w14:textFill>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Macro">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List3">
    <w:name w:val="List 3"/>
    <w:basedOn w:val="Normal"/>
    <w:uiPriority w:val="99"/>
    <w:unhideWhenUsed/>
    <w:pPr>
      <w:ind w:left="1080" w:hanging="360"/>
      <w:contextualSpacing/>
    </w:pPr>
  </w:style>
  <w:style w:type="paragraph" w:styleId="ListNumber2">
    <w:name w:val="List Number 2"/>
    <w:basedOn w:val="Normal"/>
    <w:uiPriority w:val="99"/>
    <w:unhideWhenUsed/>
    <w:qFormat/>
    <w:pPr>
      <w:numPr>
        <w:ilvl w:val="0"/>
        <w:numId w:val="1"/>
      </w:numPr>
      <w:contextualSpacing/>
    </w:pPr>
  </w:style>
  <w:style w:type="paragraph" w:styleId="ListNumber">
    <w:name w:val="List Number"/>
    <w:basedOn w:val="Normal"/>
    <w:uiPriority w:val="99"/>
    <w:unhideWhenUsed/>
    <w:qFormat/>
    <w:pPr>
      <w:numPr>
        <w:ilvl w:val="0"/>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14:textFill>
        <w14:solidFill>
          <w14:schemeClr w14:val="accent1"/>
        </w14:solidFill>
      </w14:textFill>
    </w:rPr>
  </w:style>
  <w:style w:type="paragraph" w:styleId="ListBullet">
    <w:name w:val="List Bullet"/>
    <w:basedOn w:val="Normal"/>
    <w:uiPriority w:val="99"/>
    <w:unhideWhenUsed/>
    <w:pPr>
      <w:numPr>
        <w:ilvl w:val="0"/>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ilvl w:val="0"/>
        <w:numId w:val="4"/>
      </w:numPr>
      <w:contextualSpacing/>
    </w:pPr>
  </w:style>
  <w:style w:type="paragraph" w:styleId="BodyText">
    <w:name w:val="Body Text"/>
    <w:basedOn w:val="Normal"/>
    <w:link w:val="BodyTextChar"/>
    <w:uiPriority w:val="99"/>
    <w:unhideWhenUsed/>
    <w:pPr>
      <w:spacing w:after="120"/>
    </w:pPr>
  </w:style>
  <w:style w:type="paragraph" w:styleId="ListNumber3">
    <w:name w:val="List Number 3"/>
    <w:basedOn w:val="Normal"/>
    <w:uiPriority w:val="99"/>
    <w:unhideWhenUsed/>
    <w:qFormat/>
    <w:pPr>
      <w:numPr>
        <w:ilvl w:val="0"/>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ilvl w:val="0"/>
        <w:numId w:val="6"/>
      </w:numPr>
      <w:contextualSpacing/>
    </w:p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75E" w:themeColor="text2" w:themeShade="BF"/>
      <w:spacing w:val="5"/>
      <w:kern w:val="28"/>
      <w:sz w:val="52"/>
      <w:szCs w:val="52"/>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qFormat/>
    <w:pPr>
      <w:spacing w:after="0" w:line="240" w:lineRule="auto"/>
    </w:pPr>
    <w:rPr>
      <w:color w:val="000000" w:themeColor="text1" w:themeShade="BF"/>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LightShadingAccent1">
    <w:name w:val="Light Shading Accent 1"/>
    <w:basedOn w:val="TableNormal"/>
    <w:uiPriority w:val="60"/>
    <w:qFormat/>
    <w:pPr>
      <w:spacing w:after="0" w:line="240" w:lineRule="auto"/>
    </w:pPr>
    <w:rPr>
      <w:color w:val="376092" w:themeColor="accent1" w:themeShade="BF"/>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pPr>
      <w:spacing w:after="0" w:line="240" w:lineRule="auto"/>
    </w:pPr>
    <w:rPr>
      <w:color w:val="953735" w:themeColor="accent2" w:themeShade="BF"/>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LightShadingAccent3">
    <w:name w:val="Light Shading Accent 3"/>
    <w:basedOn w:val="TableNormal"/>
    <w:uiPriority w:val="60"/>
    <w:qFormat/>
    <w:pPr>
      <w:spacing w:after="0" w:line="240" w:lineRule="auto"/>
    </w:pPr>
    <w:rPr>
      <w:color w:val="77933C" w:themeColor="accent3" w:themeShade="BF"/>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pPr>
      <w:spacing w:after="0" w:line="240" w:lineRule="auto"/>
    </w:pPr>
    <w:rPr>
      <w:color w:val="604A7B" w:themeColor="accent4" w:themeShade="BF"/>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pPr>
      <w:spacing w:after="0" w:line="240" w:lineRule="auto"/>
    </w:pPr>
    <w:rPr>
      <w:color w:val="31859C" w:themeColor="accent5" w:themeShade="BF"/>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LightShadingAccent6">
    <w:name w:val="Light Shading Accent 6"/>
    <w:basedOn w:val="TableNormal"/>
    <w:uiPriority w:val="60"/>
    <w:qFormat/>
    <w:pPr>
      <w:spacing w:after="0" w:line="240" w:lineRule="auto"/>
    </w:pPr>
    <w:rPr>
      <w:color w:val="E46C0A" w:themeColor="accent6" w:themeShade="BF"/>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LightList">
    <w:name w:val="Light List"/>
    <w:basedOn w:val="TableNormal"/>
    <w:uiPriority w:val="61"/>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BFBFBF"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3"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3"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0"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0"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pPr>
      <w:spacing w:after="0" w:line="240" w:lineRule="auto"/>
    </w:p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pPr>
      <w:spacing w:after="0" w:line="240" w:lineRule="auto"/>
    </w:pPr>
    <w:rPr>
      <w:color w:val="000000" w:themeColor="text1"/>
      <w14:textFill>
        <w14:solidFill>
          <w14:schemeClr w14:val="tx1"/>
        </w14:solidFill>
      </w14:textFill>
    </w:rPr>
    <w:tblPr>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14:textFill>
          <w14:solidFill>
            <w14:schemeClr w14:val="tx2"/>
          </w14:solidFill>
        </w14:textFill>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MediumList1Accent1">
    <w:name w:val="Medium List 1 Accent 1"/>
    <w:basedOn w:val="TableNormal"/>
    <w:uiPriority w:val="65"/>
    <w:pPr>
      <w:spacing w:after="0" w:line="240" w:lineRule="auto"/>
    </w:pPr>
    <w:rPr>
      <w:color w:val="000000" w:themeColor="text1"/>
      <w14:textFill>
        <w14:solidFill>
          <w14:schemeClr w14:val="tx1"/>
        </w14:solidFill>
      </w14:textFill>
    </w:rPr>
    <w:tblPr>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14:textFill>
          <w14:solidFill>
            <w14:schemeClr w14:val="tx2"/>
          </w14:solidFill>
        </w14:textFill>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pPr>
      <w:spacing w:after="0" w:line="240" w:lineRule="auto"/>
    </w:pPr>
    <w:rPr>
      <w:color w:val="000000" w:themeColor="text1"/>
      <w14:textFill>
        <w14:solidFill>
          <w14:schemeClr w14:val="tx1"/>
        </w14:solidFill>
      </w14:textFill>
    </w:rPr>
    <w:tblPr>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14:textFill>
          <w14:solidFill>
            <w14:schemeClr w14:val="tx2"/>
          </w14:solidFill>
        </w14:textFill>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MediumList1Accent3">
    <w:name w:val="Medium List 1 Accent 3"/>
    <w:basedOn w:val="TableNormal"/>
    <w:uiPriority w:val="65"/>
    <w:qFormat/>
    <w:pPr>
      <w:spacing w:after="0" w:line="240" w:lineRule="auto"/>
    </w:pPr>
    <w:rPr>
      <w:color w:val="000000" w:themeColor="text1"/>
      <w14:textFill>
        <w14:solidFill>
          <w14:schemeClr w14:val="tx1"/>
        </w14:solidFill>
      </w14:textFill>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14:textFill>
          <w14:solidFill>
            <w14:schemeClr w14:val="tx2"/>
          </w14:solidFill>
        </w14:textFill>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pPr>
      <w:spacing w:after="0" w:line="240" w:lineRule="auto"/>
    </w:pPr>
    <w:rPr>
      <w:color w:val="000000" w:themeColor="text1"/>
      <w14:textFill>
        <w14:solidFill>
          <w14:schemeClr w14:val="tx1"/>
        </w14:solidFill>
      </w14:textFill>
    </w:rPr>
    <w:tblPr>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14:textFill>
          <w14:solidFill>
            <w14:schemeClr w14:val="tx2"/>
          </w14:solidFill>
        </w14:textFill>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pPr>
      <w:spacing w:after="0" w:line="240" w:lineRule="auto"/>
    </w:pPr>
    <w:rPr>
      <w:color w:val="000000" w:themeColor="text1"/>
      <w14:textFill>
        <w14:solidFill>
          <w14:schemeClr w14:val="tx1"/>
        </w14:solidFill>
      </w14:textFill>
    </w:rPr>
    <w:tblPr>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14:textFill>
          <w14:solidFill>
            <w14:schemeClr w14:val="tx2"/>
          </w14:solidFill>
        </w14:textFill>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MediumList1Accent6">
    <w:name w:val="Medium List 1 Accent 6"/>
    <w:basedOn w:val="TableNormal"/>
    <w:uiPriority w:val="65"/>
    <w:qFormat/>
    <w:pPr>
      <w:spacing w:after="0" w:line="240" w:lineRule="auto"/>
    </w:pPr>
    <w:rPr>
      <w:color w:val="000000" w:themeColor="text1"/>
      <w14:textFill>
        <w14:solidFill>
          <w14:schemeClr w14:val="tx1"/>
        </w14:solidFill>
      </w14:textFill>
    </w:rPr>
    <w:tblPr>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14:textFill>
          <w14:solidFill>
            <w14:schemeClr w14:val="tx2"/>
          </w14:solidFill>
        </w14:textFill>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pPr>
      <w:spacing w:after="0" w:line="240" w:lineRule="auto"/>
    </w:pPr>
    <w:tblPr>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insideV w:val="single" w:sz="8" w:space="0" w:color="3F3F3F" w:themeColor="text1" w:themeTint="BF"/>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sz="18" w:space="0" w:color="3F3F3F" w:themeColor="text1" w:themeTint="BF"/>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MediumGrid1Accent1">
    <w:name w:val="Medium Grid 1 Accent 1"/>
    <w:basedOn w:val="TableNormal"/>
    <w:uiPriority w:val="67"/>
    <w:qFormat/>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MediumGrid1Accent2">
    <w:name w:val="Medium Grid 1 Accent 2"/>
    <w:basedOn w:val="TableNormal"/>
    <w:uiPriority w:val="67"/>
    <w:qFormat/>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pPr>
      <w:spacing w:after="0" w:line="240" w:lineRule="auto"/>
    </w:pPr>
    <w:tblPr>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insideV w:val="single" w:sz="8" w:space="0" w:color="B4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4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color="auto"/>
          <w:insideV w:val="single" w:sz="6" w:space="0" w:color="auto"/>
        </w:tcBorders>
        <w:shd w:val="clear" w:color="auto" w:fill="7F7F7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color="auto"/>
          <w:insideV w:val="single" w:sz="6" w:space="0" w:color="auto"/>
        </w:tcBorders>
        <w:shd w:val="clear" w:color="auto" w:fill="A7C0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pPr>
      <w:spacing w:after="0" w:line="240" w:lineRule="auto"/>
    </w:pPr>
    <w:rPr>
      <w:rFonts w:asciiTheme="majorHAnsi" w:eastAsiaTheme="majorEastAsia" w:hAnsiTheme="majorHAnsi" w:cstheme="majorBidi"/>
      <w:color w:val="000000" w:themeColor="text1"/>
      <w14:textFill>
        <w14:solidFill>
          <w14:schemeClr w14:val="tx1"/>
        </w14:solidFill>
      </w14:textFill>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7F7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7F7F7F" w:themeFill="text1" w:themeFillTint="7F"/>
      </w:tcPr>
    </w:tblStylePr>
  </w:style>
  <w:style w:type="table" w:styleId="MediumGrid3Accent1">
    <w:name w:val="Medium Grid 3 Accent 1"/>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0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C0DE" w:themeFill="accent1" w:themeFillTint="7F"/>
      </w:tcPr>
    </w:tblStylePr>
  </w:style>
  <w:style w:type="table" w:styleId="MediumGrid3Accent2">
    <w:name w:val="Medium Grid 3 Accent 2"/>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60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DarkListAccent2">
    <w:name w:val="Dark List Accent 2"/>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7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DarkListAccent3">
    <w:name w:val="Dark List Accent 3"/>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ColorfulShading">
    <w:name w:val="Colorful Shading"/>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1">
    <w:name w:val="Colorful Shading Accent 1"/>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2">
    <w:name w:val="Colorful Shading Accent 2"/>
    <w:basedOn w:val="TableNormal"/>
    <w:uiPriority w:val="71"/>
    <w:qFormat/>
    <w:pPr>
      <w:spacing w:after="0" w:line="240" w:lineRule="auto"/>
    </w:pPr>
    <w:rPr>
      <w:color w:val="000000" w:themeColor="text1"/>
      <w14:textFill>
        <w14:solidFill>
          <w14:schemeClr w14:val="tx1"/>
        </w14:solidFill>
      </w14:textFill>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3">
    <w:name w:val="Colorful Shading Accent 3"/>
    <w:basedOn w:val="TableNormal"/>
    <w:uiPriority w:val="71"/>
    <w:qFormat/>
    <w:pPr>
      <w:spacing w:after="0" w:line="240" w:lineRule="auto"/>
    </w:pPr>
    <w:rPr>
      <w:color w:val="000000" w:themeColor="text1"/>
      <w14:textFill>
        <w14:solidFill>
          <w14:schemeClr w14:val="tx1"/>
        </w14:solidFill>
      </w14:textFill>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pPr>
      <w:spacing w:after="0" w:line="240" w:lineRule="auto"/>
    </w:pPr>
    <w:rPr>
      <w:color w:val="000000" w:themeColor="text1"/>
      <w14:textFill>
        <w14:solidFill>
          <w14:schemeClr w14:val="tx1"/>
        </w14:solidFill>
      </w14:textFill>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5">
    <w:name w:val="Colorful Shading Accent 5"/>
    <w:basedOn w:val="TableNormal"/>
    <w:uiPriority w:val="71"/>
    <w:qFormat/>
    <w:pPr>
      <w:spacing w:after="0" w:line="240" w:lineRule="auto"/>
    </w:pPr>
    <w:rPr>
      <w:color w:val="000000" w:themeColor="text1"/>
      <w14:textFill>
        <w14:solidFill>
          <w14:schemeClr w14:val="tx1"/>
        </w14:solidFill>
      </w14:textFill>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ShadingAccent6">
    <w:name w:val="Colorful Shading Accent 6"/>
    <w:basedOn w:val="TableNormal"/>
    <w:uiPriority w:val="71"/>
    <w:qFormat/>
    <w:pPr>
      <w:spacing w:after="0" w:line="240" w:lineRule="auto"/>
    </w:pPr>
    <w:rPr>
      <w:color w:val="000000" w:themeColor="text1"/>
      <w14:textFill>
        <w14:solidFill>
          <w14:schemeClr w14:val="tx1"/>
        </w14:solidFill>
      </w14:textFill>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sz="6" w:space="0" w:color="FFFFFF" w:themeColor="background1"/>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color="auto"/>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ColorfulList">
    <w:name w:val="Colorful List"/>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9E3A38" w:themeFill="accent2" w:themeFillShade="CC"/>
      </w:tcPr>
    </w:tblStylePr>
    <w:tblStylePr w:type="lastRow">
      <w:rPr>
        <w:b/>
        <w:bCs/>
        <w:color w:val="9F3B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664E82" w:themeFill="accent4" w:themeFillShade="CC"/>
      </w:tcPr>
    </w:tblStylePr>
    <w:tblStylePr w:type="lastRow">
      <w:rPr>
        <w:b/>
        <w:bCs/>
        <w:color w:val="664F8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7E9C40" w:themeFill="accent3" w:themeFillShade="CC"/>
      </w:tcPr>
    </w:tblStylePr>
    <w:tblStylePr w:type="lastRow">
      <w:rPr>
        <w:b/>
        <w:bCs/>
        <w:color w:val="7E9D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F3730A" w:themeFill="accent6" w:themeFillShade="CC"/>
      </w:tcPr>
    </w:tblStylePr>
    <w:tblStylePr w:type="lastRow">
      <w:rPr>
        <w:b/>
        <w:bCs/>
        <w:color w:val="F3740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sz="12" w:space="0" w:color="FFFFFF" w:themeColor="background1"/>
        </w:tcBorders>
        <w:shd w:val="clear" w:color="auto" w:fill="348DA5" w:themeFill="accent5" w:themeFillShade="CC"/>
      </w:tcPr>
    </w:tblStylePr>
    <w:tblStylePr w:type="lastRow">
      <w:rPr>
        <w:b/>
        <w:bCs/>
        <w:color w:val="358EA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ColorfulGridAccent1">
    <w:name w:val="Colorful Grid Accent 1"/>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ColorfulGridAccent2">
    <w:name w:val="Colorful Grid Accent 2"/>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pPr>
      <w:spacing w:after="0" w:line="240" w:lineRule="auto"/>
    </w:pPr>
    <w:rPr>
      <w:color w:val="000000" w:themeColor="text1"/>
      <w14:textFill>
        <w14:solidFill>
          <w14:schemeClr w14:val="tx1"/>
        </w14:solidFill>
      </w14:textFill>
    </w:rPr>
    <w:tblPr>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rPr>
      <w:rFonts w:asciiTheme="minorHAnsi" w:eastAsiaTheme="minorEastAsia" w:hAnsiTheme="minorHAnsi" w:cstheme="minorBidi"/>
      <w:sz w:val="22"/>
      <w:szCs w:val="22"/>
      <w:lang w:val="en-US" w:eastAsia="en-US" w:bidi="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76092"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14:textFill>
        <w14:solidFill>
          <w14:schemeClr w14:val="accent1"/>
        </w14:solidFill>
      </w14:textFill>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14:textFill>
        <w14:solidFill>
          <w14:schemeClr w14:val="accent1"/>
        </w14:solidFill>
      </w14:textFill>
    </w:rPr>
  </w:style>
  <w:style w:type="character" w:customStyle="1" w:styleId="TitleChar">
    <w:name w:val="Title Char"/>
    <w:basedOn w:val="DefaultParagraphFont"/>
    <w:link w:val="Title"/>
    <w:uiPriority w:val="10"/>
    <w:rPr>
      <w:rFonts w:asciiTheme="majorHAnsi" w:eastAsiaTheme="majorEastAsia" w:hAnsiTheme="majorHAnsi" w:cstheme="majorBidi"/>
      <w:color w:val="17375E"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14:textFill>
        <w14:solidFill>
          <w14:schemeClr w14:val="accent1"/>
        </w14:solidFill>
      </w14:textFill>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14:textFill>
        <w14:solidFill>
          <w14:schemeClr w14:val="tx1"/>
        </w14:solidFill>
      </w14:textFill>
    </w:rPr>
  </w:style>
  <w:style w:type="character" w:customStyle="1" w:styleId="QuoteChar">
    <w:name w:val="Quote Char"/>
    <w:basedOn w:val="DefaultParagraphFont"/>
    <w:link w:val="Quote"/>
    <w:uiPriority w:val="29"/>
    <w:qFormat/>
    <w:rPr>
      <w:i/>
      <w:iCs/>
      <w:color w:val="000000" w:themeColor="text1"/>
      <w14:textFill>
        <w14:solidFill>
          <w14:schemeClr w14:val="tx1"/>
        </w14:solidFill>
      </w14:textFill>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14:textFill>
        <w14:solidFill>
          <w14:schemeClr w14:val="accent1"/>
        </w14:solidFill>
      </w14:textFill>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5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5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14:textFill>
        <w14:solidFill>
          <w14:schemeClr w14:val="tx1">
            <w14:lumMod w14:val="75000"/>
            <w14:lumOff w14:val="25000"/>
          </w14:schemeClr>
        </w14:solidFill>
      </w14:textFill>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14:textFill>
        <w14:solidFill>
          <w14:schemeClr w14:val="accent1"/>
        </w14:solidFill>
      </w14:textFill>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14:textFill>
        <w14:solidFill>
          <w14:schemeClr w14:val="tx1">
            <w14:lumMod w14:val="75000"/>
            <w14:lumOff w14:val="25000"/>
          </w14:schemeClr>
        </w14:solidFill>
      </w14:textFill>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14:textFill>
        <w14:solidFill>
          <w14:schemeClr w14:val="accent1"/>
        </w14:solidFill>
      </w14:textFill>
    </w:rPr>
  </w:style>
  <w:style w:type="character" w:customStyle="1" w:styleId="IntenseQuoteChar">
    <w:name w:val="Intense Quote Char"/>
    <w:basedOn w:val="DefaultParagraphFont"/>
    <w:link w:val="IntenseQuote"/>
    <w:uiPriority w:val="30"/>
    <w:qFormat/>
    <w:rPr>
      <w:b/>
      <w:bCs/>
      <w:i/>
      <w:iCs/>
      <w:color w:val="4F81BD" w:themeColor="accent1"/>
      <w14:textFill>
        <w14:solidFill>
          <w14:schemeClr w14:val="accent1"/>
        </w14:solidFill>
      </w14:textFill>
    </w:rPr>
  </w:style>
  <w:style w:type="character" w:customStyle="1" w:styleId="SubtleEmphasis">
    <w:name w:val="Subtle Emphasis"/>
    <w:basedOn w:val="DefaultParagraphFont"/>
    <w:uiPriority w:val="19"/>
    <w:qFormat/>
    <w:rPr>
      <w:i/>
      <w:iCs/>
      <w:color w:val="808080" w:themeColor="text1" w:themeTint="80"/>
      <w14:textFill>
        <w14:solidFill>
          <w14:schemeClr w14:val="tx1">
            <w14:lumMod w14:val="50000"/>
            <w14:lumOff w14:val="50000"/>
          </w14:schemeClr>
        </w14:solidFill>
      </w14:textFill>
    </w:rPr>
  </w:style>
  <w:style w:type="character" w:customStyle="1" w:styleId="IntenseEmphasis">
    <w:name w:val="Intense Emphasis"/>
    <w:basedOn w:val="DefaultParagraphFont"/>
    <w:uiPriority w:val="21"/>
    <w:qFormat/>
    <w:rPr>
      <w:b/>
      <w:bCs/>
      <w:i/>
      <w:iCs/>
      <w:color w:val="4F81BD" w:themeColor="accent1"/>
      <w14:textFill>
        <w14:solidFill>
          <w14:schemeClr w14:val="accent1"/>
        </w14:solidFill>
      </w14:textFill>
    </w:rPr>
  </w:style>
  <w:style w:type="character" w:customStyle="1" w:styleId="SubtleReference">
    <w:name w:val="Subtle Reference"/>
    <w:basedOn w:val="DefaultParagraphFont"/>
    <w:uiPriority w:val="31"/>
    <w:qFormat/>
    <w:rPr>
      <w:smallCaps/>
      <w:color w:val="C0504D" w:themeColor="accent2"/>
      <w:u w:val="single"/>
      <w14:textFill>
        <w14:solidFill>
          <w14:schemeClr w14:val="accent2"/>
        </w14:solidFill>
      </w14:textFill>
    </w:rPr>
  </w:style>
  <w:style w:type="character" w:customStyle="1" w:styleId="IntenseReference">
    <w:name w:val="Intense Reference"/>
    <w:basedOn w:val="DefaultParagraphFont"/>
    <w:uiPriority w:val="32"/>
    <w:qFormat/>
    <w:rPr>
      <w:b/>
      <w:bCs/>
      <w:smallCaps/>
      <w:color w:val="C0504D" w:themeColor="accent2"/>
      <w:spacing w:val="5"/>
      <w:u w:val="single"/>
      <w14:textFill>
        <w14:solidFill>
          <w14:schemeClr w14:val="accent2"/>
        </w14:solidFill>
      </w14:textFill>
    </w:rPr>
  </w:style>
  <w:style w:type="character" w:customStyle="1" w:styleId="BookTitle">
    <w:name w:val="Book Title"/>
    <w:basedOn w:val="DefaultParagraphFont"/>
    <w:uiPriority w:val="33"/>
    <w:qFormat/>
    <w:rPr>
      <w:b/>
      <w:bCs/>
      <w:smallCaps/>
      <w:spacing w:val="5"/>
    </w:rPr>
  </w:style>
  <w:style w:type="paragraph" w:customStyle="1" w:styleId="TOCHeading">
    <w:name w:val="TOC Heading"/>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905</Words>
  <Characters>940</Characters>
  <Application>Microsoft Office Word</Application>
  <DocSecurity>0</DocSecurity>
  <Lines>0</Lines>
  <Paragraphs>0</Paragraphs>
  <ScaleCrop>false</ScaleCrop>
  <Company/>
  <LinksUpToDate>false</LinksUpToDate>
  <CharactersWithSpaces>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初展</cp:lastModifiedBy>
  <cp:revision>1</cp:revision>
  <dcterms:created xsi:type="dcterms:W3CDTF">2013-12-23T23:15:00Z</dcterms:created>
  <dcterms:modified xsi:type="dcterms:W3CDTF">2026-11-04T10:06:28Z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D668F0C2062E43CC8CFFA65639CFA706_12</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