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62A958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摘要：</w:t>
      </w:r>
      <w:r>
        <w:rPr>
          <w:rFonts w:ascii="Calibri" w:eastAsia="宋体" w:hAnsi="Calibri" w:cs="Times New Roman" w:hint="eastAsia"/>
          <w:color w:val="FF0000"/>
        </w:rPr>
        <w:t>婴幼儿食品基质复杂、核苷酸含量低，因此对方法进行优化十分重要。为了系统评价各种检测条件是否合适，对色谱柱类型对复杂基质的分离效果进行分析，寻找流动相和洗脱方法的协同优化规律，研究波长选择对低含量灵敏度的保证作用，得出婴幼儿食品核苷酸准确测定的主要条件联动优化方式。</w:t>
      </w:r>
    </w:p>
    <w:p w14:paraId="63C326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lang w:eastAsia="zh-CN"/>
        </w:rPr>
      </w:pPr>
      <w:r>
        <w:rPr>
          <w:rFonts w:ascii="Calibri" w:eastAsia="宋体" w:hAnsi="Calibri" w:cs="Times New Roman" w:hint="eastAsia"/>
          <w:color w:val="FF0000"/>
        </w:rPr>
        <w:t>关键词：液相色谱</w:t>
      </w:r>
      <w:r>
        <w:rPr>
          <w:rFonts w:ascii="Calibri" w:eastAsia="宋体" w:hAnsi="Calibri" w:cs="Times New Roman" w:hint="eastAsia"/>
          <w:color w:val="FF0000"/>
          <w:lang w:eastAsia="zh-CN"/>
        </w:rPr>
        <w:t>；</w:t>
      </w:r>
      <w:r>
        <w:rPr>
          <w:rFonts w:ascii="Calibri" w:eastAsia="宋体" w:hAnsi="Calibri" w:cs="Times New Roman" w:hint="eastAsia"/>
          <w:color w:val="FF0000"/>
        </w:rPr>
        <w:t>不同检测条件</w:t>
      </w:r>
      <w:r>
        <w:rPr>
          <w:rFonts w:ascii="Calibri" w:eastAsia="宋体" w:hAnsi="Calibri" w:cs="Times New Roman" w:hint="eastAsia"/>
          <w:color w:val="FF0000"/>
          <w:lang w:eastAsia="zh-CN"/>
        </w:rPr>
        <w:t>；</w:t>
      </w:r>
      <w:r>
        <w:rPr>
          <w:rFonts w:ascii="Calibri" w:eastAsia="宋体" w:hAnsi="Calibri" w:cs="Times New Roman" w:hint="eastAsia"/>
          <w:color w:val="FF0000"/>
        </w:rPr>
        <w:t>婴幼儿食品</w:t>
      </w:r>
      <w:r>
        <w:rPr>
          <w:rFonts w:ascii="Calibri" w:eastAsia="宋体" w:hAnsi="Calibri" w:cs="Times New Roman" w:hint="eastAsia"/>
          <w:color w:val="FF0000"/>
          <w:lang w:eastAsia="zh-CN"/>
        </w:rPr>
        <w:t>；</w:t>
      </w:r>
      <w:r>
        <w:rPr>
          <w:rFonts w:ascii="Calibri" w:eastAsia="宋体" w:hAnsi="Calibri" w:cs="Times New Roman" w:hint="eastAsia"/>
          <w:color w:val="FF0000"/>
        </w:rPr>
        <w:t>核苷酸</w:t>
      </w:r>
    </w:p>
    <w:p w14:paraId="792A52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核苷酸是婴幼儿肠道黏膜修复、免疫细胞增殖所必需的内源性营养物质，婴幼儿配方食品中核苷酸含量的高低决定产品对母乳营养模拟效果的好坏。目前的液相色谱检测标准对于方法条件的表述比较原则化，实验室由于条件选取的不同造成结果的重复性较差，减弱了质量监督的一致性，婴幼儿食品基质成分繁杂、目标核苷酸含量处在灵敏度的临界值区间内，检测条件的匹配性对于结果的精确度有着十分重要的意义，对各个条件进行实际对比、确定最佳条件的方法学价值很高。</w:t>
      </w:r>
    </w:p>
    <w:p w14:paraId="4C76D6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1材料与检测方法</w:t>
      </w:r>
    </w:p>
    <w:p w14:paraId="79EA5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1.1实验材料与试剂</w:t>
      </w:r>
    </w:p>
    <w:p w14:paraId="1A45FE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实验以市售婴幼儿配方奶粉作为检测样品，包含一段和二段两种配方奶粉，从配方奶粉的基质组成不同来体现。标准品有5'-腺苷酸（5'-AMP）、5'-胞苷酸（5'-CMP）、5'-鸟苷酸（5'-GMP）、5'-尿苷酸（5'-UMP）、5'-肌苷酸（5'-IMP）5种，纯度≥98%，由有国家计量认证资质的标准品生产单位提供，保证标准曲线量值溯源的准确性；有机相用色谱纯乙腈，缓冲盐用分析纯磷酸二氢铵配置，水相全部采用电阻率≥18.2MΩ·cm的超纯水，防止水中少量有机物造成的基线漂移；蛋白沉淀剂选择10%三氯乙酸，沉淀蛋白质彻底，不会对核苷酸的化学骨架造成破坏，是保证前处理回收率稳定的试剂选择标准。</w:t>
      </w:r>
    </w:p>
    <w:p w14:paraId="6CB05B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1.2实验仪器设备</w:t>
      </w:r>
    </w:p>
    <w:p w14:paraId="762D79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主体检测平台是岛津LC-20A高效液相色谱仪，用二极管阵列检测器DAD，可对200~400nm波长连续扫描，可以得到多波长数据同时采集。色谱柱共有三种，C18反相柱（250mm×4.6mm，5μm）用作反相分配柱，NH</w:t>
      </w:r>
      <w:r>
        <w:rPr>
          <w:rFonts w:ascii="Calibri" w:eastAsia="宋体" w:hAnsi="Calibri" w:cs="Times New Roman" w:hint="eastAsia"/>
          <w:color w:val="FF0000"/>
          <w:vertAlign w:val="subscript"/>
          <w:lang w:val="en-US" w:eastAsia="zh-CN"/>
        </w:rPr>
        <w:t>2</w:t>
      </w:r>
      <w:r>
        <w:rPr>
          <w:rFonts w:ascii="Calibri" w:eastAsia="宋体" w:hAnsi="Calibri" w:cs="Times New Roman" w:hint="eastAsia"/>
          <w:color w:val="FF0000"/>
        </w:rPr>
        <w:t>氨基柱（250mm×4.6mm，5μm）用作弱极性吸附柱，SAX强阴离子交换柱（250mm×4.6mm，5μm）用作离子交换柱，三种色谱柱一起形成了系统的比较机制框架；前处理辅助设备包括低温高速离心机（最大转速16000rpm）、功率250W超声波清洗器、涡旋振荡器，用孔径为0.22μm水系滤膜；所有的设备都在计量检定的有效期内使用，保证设备状态差异对比较结论的影响可以忽略不计</w:t>
      </w:r>
      <w:r>
        <w:rPr>
          <w:rFonts w:ascii="Calibri" w:eastAsia="宋体" w:hAnsi="Calibri" w:cs="Times New Roman" w:hint="eastAsia"/>
          <w:color w:val="FF0000"/>
          <w:vertAlign w:val="superscript"/>
        </w:rPr>
        <w:t>[1]</w:t>
      </w:r>
      <w:r>
        <w:rPr>
          <w:rFonts w:ascii="Calibri" w:eastAsia="宋体" w:hAnsi="Calibri" w:cs="Times New Roman" w:hint="eastAsia"/>
          <w:color w:val="FF0000"/>
        </w:rPr>
        <w:t>。</w:t>
      </w:r>
    </w:p>
    <w:p w14:paraId="1A22B0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1.3样本前处理方式</w:t>
      </w:r>
    </w:p>
    <w:p w14:paraId="66435C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婴幼儿配方奶粉蛋白质含量高，未经充分净化的蛋白残留会造成色谱柱不可逆吸附污染，前处理要以蛋白完全去除为目标。准确称取2.0g样品装入50ml聚丙烯离心管中，加入约30ml超纯水后在60℃水浴中震荡20min，使蛋白质充分溶胀分散；冷却至室温后逐滴加入10%三氯乙酸至终浓度4%（v/v），涡旋混匀2min，酸性条件下使蛋白絮凝沉淀迅速形成；用12000rpm、4℃离心15min，上清液转移到新的试管中再做低温离心一次，去除微粒；上清液经0.22μm水系滤膜过滤后转入进样瓶，全程低温操作防止内源性酶对核苷酸的降解，实验结果表明五种目标组分的前处理回收率都在93%到102%之间，方案准确性可以达到定量检测的最低标准。</w:t>
      </w:r>
    </w:p>
    <w:p w14:paraId="77F236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1.4不同液相色谱检测条件设置</w:t>
      </w:r>
    </w:p>
    <w:p w14:paraId="179798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根据控制变量的原则，设置色谱柱类型、流动相配比、洗脱方式、检测波长四个独立变量维度进行试验，试验时每次只改变一个变量，其他的试验参数保持不变，保证各个维度试验得到的结果是独立有效的。</w:t>
      </w:r>
    </w:p>
    <w:p w14:paraId="15EDA8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全组试验共用的基础仪器参数为柱温为30℃，流速为1.0mL/min，进样量为10μL；梯度洗脱用专门程序；每一个试验条件连续进样三次，保留时间批内RSD≤2%、峰面积RSD≤3%的数据才能被接受，不符合以上标准的数据不能用于优势对比分析，</w:t>
      </w:r>
      <w:r>
        <w:rPr>
          <w:rFonts w:ascii="Calibri" w:eastAsia="宋体" w:hAnsi="Calibri" w:cs="Times New Roman" w:hint="eastAsia"/>
          <w:color w:val="FF0000"/>
          <w:lang w:eastAsia="zh-CN"/>
        </w:rPr>
        <w:t>见</w:t>
      </w:r>
      <w:r>
        <w:rPr>
          <w:rFonts w:ascii="Calibri" w:eastAsia="宋体" w:hAnsi="Calibri" w:cs="Times New Roman" w:hint="eastAsia"/>
          <w:color w:val="FF0000"/>
          <w:lang w:val="en-US" w:eastAsia="zh-CN"/>
        </w:rPr>
        <w:t>表1。</w:t>
      </w:r>
    </w:p>
    <w:p w14:paraId="4C650B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Calibri" w:eastAsia="宋体" w:hAnsi="Calibri" w:cs="Times New Roman" w:hint="eastAsia"/>
          <w:color w:val="FF0000"/>
        </w:rPr>
      </w:pPr>
      <w:r>
        <w:rPr>
          <w:rFonts w:ascii="Calibri" w:eastAsia="宋体" w:hAnsi="Calibri" w:cs="Times New Roman" w:hint="eastAsia"/>
          <w:color w:val="FF0000"/>
        </w:rPr>
        <w:t>表1液相色谱变量试验条件汇总</w:t>
      </w:r>
    </w:p>
    <w:tbl>
      <w:tblPr>
        <w:tblStyle w:val="TableNormal"/>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3389"/>
        <w:gridCol w:w="5157"/>
      </w:tblGrid>
      <w:tr w14:paraId="3B28B2DD">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66A9AFCA">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变量维度</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69698726">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可选试验条件</w:t>
            </w:r>
          </w:p>
        </w:tc>
      </w:tr>
      <w:tr w14:paraId="4E3018C9">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658D9FC">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色谱柱类型</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BA51B74">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C18反相柱、NH2​氨基柱、SAX强阴离子交换柱</w:t>
            </w:r>
          </w:p>
        </w:tc>
      </w:tr>
      <w:tr w14:paraId="32484B94">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50A6B129">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流动相（磷酸盐缓冲液：乙腈）</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5714B40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95:5、90:10、85:15</w:t>
            </w:r>
          </w:p>
        </w:tc>
      </w:tr>
      <w:tr w14:paraId="5DB9F0FA">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26B7F2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洗脱方式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31625E29">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等度洗脱、梯度洗脱</w:t>
            </w:r>
          </w:p>
        </w:tc>
      </w:tr>
      <w:tr w14:paraId="73F2BB92">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5174D24">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检测波长</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FCC089B">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240 nm、254 nm、260 nm</w:t>
            </w:r>
          </w:p>
        </w:tc>
      </w:tr>
      <w:tr w14:paraId="4FE5B421">
        <w:tblPrEx>
          <w:tblW w:w="5000" w:type="pct"/>
          <w:tblInd w:w="0" w:type="dxa"/>
          <w:shd w:val="clear" w:color="auto" w:fill="auto"/>
          <w:tblCellMar>
            <w:top w:w="15" w:type="dxa"/>
            <w:left w:w="15" w:type="dxa"/>
            <w:bottom w:w="15" w:type="dxa"/>
            <w:right w:w="15" w:type="dxa"/>
          </w:tblCellMar>
        </w:tblPrEx>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C3581D5">
            <w:pPr>
              <w:keepNext w:val="0"/>
              <w:keepLines w:val="0"/>
              <w:widowControl/>
              <w:suppressLineNumbers w:val="0"/>
              <w:jc w:val="left"/>
              <w:rPr>
                <w:rFonts w:ascii="宋体" w:eastAsia="宋体" w:hAnsi="宋体" w:cs="宋体"/>
                <w:color w:val="FF0000"/>
                <w:kern w:val="0"/>
                <w:sz w:val="21"/>
                <w:szCs w:val="21"/>
                <w:lang w:val="en-US" w:eastAsia="zh-CN" w:bidi="ar"/>
              </w:rPr>
            </w:pPr>
            <w:r>
              <w:rPr>
                <w:rFonts w:ascii="宋体" w:eastAsia="宋体" w:hAnsi="宋体" w:cs="宋体" w:hint="eastAsia"/>
                <w:color w:val="FF0000"/>
                <w:kern w:val="0"/>
                <w:sz w:val="21"/>
                <w:szCs w:val="21"/>
                <w:lang w:val="en-US" w:eastAsia="zh-CN" w:bidi="ar"/>
              </w:rPr>
              <w:t>梯度洗脱程序，0-10min磷酸盐和乙腈比例由95：5线性增加到85：15，10-30min等比例等度运行，30-40min线性回调到原来的比例达到系统平衡。</w:t>
            </w:r>
          </w:p>
        </w:tc>
      </w:tr>
    </w:tbl>
    <w:p w14:paraId="11F239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2不同检测条件下婴幼儿食品核苷酸检测结果对比</w:t>
      </w:r>
    </w:p>
    <w:p w14:paraId="5E033F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2.1不同色谱柱条件的核苷酸分离效果对比</w:t>
      </w:r>
    </w:p>
    <w:p w14:paraId="0DC0DD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default"/>
          <w:color w:val="FF0000"/>
          <w:lang w:val="en-US" w:eastAsia="zh-CN"/>
        </w:rPr>
      </w:pPr>
      <w:r>
        <w:rPr>
          <w:rFonts w:ascii="Calibri" w:eastAsia="宋体" w:hAnsi="Calibri" w:cs="Times New Roman" w:hint="eastAsia"/>
          <w:color w:val="FF0000"/>
        </w:rPr>
        <w:t>三种色谱柱分离的效果不同，是因为三种色谱柱所用的固定相保留机理对于核苷酸磷酸根电荷特征、碱基极性结构的识别原理不同</w:t>
      </w:r>
      <w:r>
        <w:rPr>
          <w:rFonts w:ascii="Calibri" w:eastAsia="宋体" w:hAnsi="Calibri" w:cs="Times New Roman" w:hint="eastAsia"/>
          <w:color w:val="FF0000"/>
          <w:vertAlign w:val="superscript"/>
        </w:rPr>
        <w:t>[2]</w:t>
      </w:r>
      <w:r>
        <w:rPr>
          <w:rFonts w:ascii="Calibri" w:eastAsia="宋体" w:hAnsi="Calibri" w:cs="Times New Roman" w:hint="eastAsia"/>
          <w:color w:val="FF0000"/>
        </w:rPr>
        <w:t>。不同的色谱柱对于组分分离度、柱效、峰形以及系统条件都有自己的优缺点，需要根据实际设备和检测目的来综合考虑选择合适的色谱柱</w:t>
      </w:r>
      <w:r>
        <w:rPr>
          <w:rFonts w:ascii="Calibri" w:eastAsia="宋体" w:hAnsi="Calibri" w:cs="Times New Roman" w:hint="eastAsia"/>
          <w:color w:val="FF0000"/>
          <w:lang w:val="en-US" w:eastAsia="zh-CN"/>
        </w:rPr>
        <w:t>。见表2.</w:t>
      </w:r>
    </w:p>
    <w:p w14:paraId="6CBB7B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Calibri" w:eastAsia="宋体" w:hAnsi="Calibri" w:cs="Times New Roman" w:hint="eastAsia"/>
          <w:color w:val="FF0000"/>
        </w:rPr>
      </w:pPr>
      <w:r>
        <w:rPr>
          <w:rFonts w:ascii="Calibri" w:eastAsia="宋体" w:hAnsi="Calibri" w:cs="Times New Roman" w:hint="eastAsia"/>
          <w:color w:val="FF0000"/>
        </w:rPr>
        <w:t>表2三种色谱柱分离性能对比</w:t>
      </w:r>
    </w:p>
    <w:tbl>
      <w:tblPr>
        <w:tblStyle w:val="TableNormal"/>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027"/>
        <w:gridCol w:w="3501"/>
        <w:gridCol w:w="4018"/>
      </w:tblGrid>
      <w:tr w14:paraId="22F930E2">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blHeader/>
        </w:trPr>
        <w:tc>
          <w:tcPr>
            <w:tcW w:w="601"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524983C">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色谱柱类型</w:t>
            </w:r>
          </w:p>
        </w:tc>
        <w:tc>
          <w:tcPr>
            <w:tcW w:w="2048"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3772BD02">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核心优势</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463CACE">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主要缺陷</w:t>
            </w:r>
          </w:p>
        </w:tc>
      </w:tr>
      <w:tr w14:paraId="03A219CC">
        <w:tblPrEx>
          <w:tblW w:w="5000" w:type="pct"/>
          <w:tblInd w:w="0" w:type="dxa"/>
          <w:shd w:val="clear" w:color="auto" w:fill="auto"/>
          <w:tblCellMar>
            <w:top w:w="15" w:type="dxa"/>
            <w:left w:w="15" w:type="dxa"/>
            <w:bottom w:w="15" w:type="dxa"/>
            <w:right w:w="15" w:type="dxa"/>
          </w:tblCellMar>
        </w:tblPrEx>
        <w:tc>
          <w:tcPr>
            <w:tcW w:w="601"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E174554">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C18反相柱</w:t>
            </w:r>
          </w:p>
        </w:tc>
        <w:tc>
          <w:tcPr>
            <w:tcW w:w="2048"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CAACF2B">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AMP、CMP、UMP可以在28min内达到基线分离，三者分离度Rs&gt;1.5，柱效可达到8200塔板数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BB553E6">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GMP和IMP分离效果不好，两者保留时间差为0.6min，Rs为1.1，IMP拖尾很严重，不对称系数为1.4，低浓度下积分误差大</w:t>
            </w:r>
          </w:p>
        </w:tc>
      </w:tr>
      <w:tr w14:paraId="2825FAF8">
        <w:tblPrEx>
          <w:tblW w:w="5000" w:type="pct"/>
          <w:tblInd w:w="0" w:type="dxa"/>
          <w:shd w:val="clear" w:color="auto" w:fill="auto"/>
          <w:tblCellMar>
            <w:top w:w="15" w:type="dxa"/>
            <w:left w:w="15" w:type="dxa"/>
            <w:bottom w:w="15" w:type="dxa"/>
            <w:right w:w="15" w:type="dxa"/>
          </w:tblCellMar>
        </w:tblPrEx>
        <w:tc>
          <w:tcPr>
            <w:tcW w:w="601"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A4630D0">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NH2​氨基柱</w:t>
            </w:r>
          </w:p>
        </w:tc>
        <w:tc>
          <w:tcPr>
            <w:tcW w:w="2048"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F9834EA">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GMP与IMP分离选择性改善，Rs提升至1.4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39BEB8C">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CMP峰底变宽，柱效仅4500塔板数，痕量CMP定量受峰展宽制约</w:t>
            </w:r>
          </w:p>
        </w:tc>
      </w:tr>
      <w:tr w14:paraId="29844833">
        <w:tblPrEx>
          <w:tblW w:w="5000" w:type="pct"/>
          <w:tblInd w:w="0" w:type="dxa"/>
          <w:shd w:val="clear" w:color="auto" w:fill="auto"/>
          <w:tblCellMar>
            <w:top w:w="15" w:type="dxa"/>
            <w:left w:w="15" w:type="dxa"/>
            <w:bottom w:w="15" w:type="dxa"/>
            <w:right w:w="15" w:type="dxa"/>
          </w:tblCellMar>
        </w:tblPrEx>
        <w:tc>
          <w:tcPr>
            <w:tcW w:w="601"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A2A393E">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SAX强阴离子交换柱</w:t>
            </w:r>
          </w:p>
        </w:tc>
        <w:tc>
          <w:tcPr>
            <w:tcW w:w="2048"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0FD88C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五种目标物的Rs都大于1.8，峰形对称，不对称因子在0.95到1</w:t>
            </w:r>
            <w:r>
              <w:rPr>
                <w:rFonts w:ascii="宋体" w:eastAsia="宋体" w:hAnsi="宋体" w:cs="宋体"/>
                <w:color w:val="FF0000"/>
                <w:kern w:val="0"/>
                <w:sz w:val="21"/>
                <w:szCs w:val="21"/>
                <w:lang w:val="en-US" w:eastAsia="zh-CN" w:bidi="ar"/>
              </w:rPr>
              <w:t>.</w:t>
            </w:r>
            <w:r>
              <w:rPr>
                <w:rFonts w:ascii="宋体" w:eastAsia="宋体" w:hAnsi="宋体" w:cs="宋体"/>
                <w:color w:val="FF0000"/>
                <w:kern w:val="0"/>
                <w:sz w:val="21"/>
                <w:szCs w:val="21"/>
                <w:lang w:val="en-US" w:eastAsia="zh-CN" w:bidi="ar"/>
              </w:rPr>
              <w:t>05之间</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531894F7">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柱压约15 MPa，单次进样前需要20 min柱平衡，对设备条件有一定要求</w:t>
            </w:r>
          </w:p>
        </w:tc>
      </w:tr>
    </w:tbl>
    <w:p w14:paraId="3BFE325E">
      <w:pPr>
        <w:keepNext w:val="0"/>
        <w:keepLines w:val="0"/>
        <w:pageBreakBefore w:val="0"/>
        <w:widowControl w:val="0"/>
        <w:kinsoku/>
        <w:wordWrap/>
        <w:overflowPunct/>
        <w:topLinePunct w:val="0"/>
        <w:autoSpaceDE/>
        <w:autoSpaceDN/>
        <w:bidi w:val="0"/>
        <w:adjustRightInd/>
        <w:snapToGrid/>
        <w:spacing w:line="360" w:lineRule="auto"/>
        <w:textAlignment w:val="auto"/>
        <w:rPr>
          <w:rFonts w:ascii="Calibri" w:eastAsia="宋体" w:hAnsi="Calibri" w:cs="Times New Roman" w:hint="eastAsia"/>
          <w:color w:val="FF0000"/>
        </w:rPr>
      </w:pPr>
      <w:r>
        <w:rPr>
          <w:rFonts w:ascii="Calibri" w:eastAsia="宋体" w:hAnsi="Calibri" w:cs="Times New Roman" w:hint="eastAsia"/>
          <w:color w:val="FF0000"/>
        </w:rPr>
        <w:t>2.2不同流动相配比的检测稳定性对比</w:t>
      </w:r>
    </w:p>
    <w:p w14:paraId="5F6168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乙腈比例发生阶跃式改变之后，核苷酸在固定相上被分配的强度就会改变，3组磷酸盐缓冲液-乙腈配比分析时间、峰分离效果、基线稳定性之间存在此消彼长的关系，在选择过程中要兼顾检测稳定性和样品检测速度。</w:t>
      </w:r>
      <w:r>
        <w:rPr>
          <w:rFonts w:ascii="Calibri" w:eastAsia="宋体" w:hAnsi="Calibri" w:cs="Times New Roman" w:hint="eastAsia"/>
          <w:color w:val="FF0000"/>
          <w:lang w:val="en-US" w:eastAsia="zh-CN"/>
        </w:rPr>
        <w:t>见表3.</w:t>
      </w:r>
    </w:p>
    <w:p w14:paraId="4023EC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Calibri" w:eastAsia="宋体" w:hAnsi="Calibri" w:cs="Times New Roman" w:hint="eastAsia"/>
          <w:color w:val="FF0000"/>
        </w:rPr>
      </w:pPr>
      <w:r>
        <w:rPr>
          <w:rFonts w:ascii="Calibri" w:eastAsia="宋体" w:hAnsi="Calibri" w:cs="Times New Roman" w:hint="eastAsia"/>
          <w:color w:val="FF0000"/>
        </w:rPr>
        <w:t>表3不同流动相配比检测性能参数对比</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15" w:type="dxa"/>
          <w:left w:w="15" w:type="dxa"/>
          <w:bottom w:w="15" w:type="dxa"/>
          <w:right w:w="15" w:type="dxa"/>
        </w:tblCellMar>
      </w:tblPr>
      <w:tblGrid>
        <w:gridCol w:w="1348"/>
        <w:gridCol w:w="4345"/>
        <w:gridCol w:w="2853"/>
      </w:tblGrid>
      <w:tr w14:paraId="1D9D0771">
        <w:tblPrEx>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208D5E30">
            <w:pPr>
              <w:keepNext w:val="0"/>
              <w:keepLines w:val="0"/>
              <w:widowControl/>
              <w:suppressLineNumbers w:val="0"/>
              <w:jc w:val="center"/>
              <w:rPr>
                <w:rFonts w:ascii="宋体" w:eastAsia="宋体" w:hAnsi="宋体" w:cs="宋体"/>
                <w:b/>
                <w:bCs/>
                <w:color w:val="FF0000"/>
                <w:kern w:val="0"/>
                <w:sz w:val="21"/>
                <w:szCs w:val="21"/>
                <w:lang w:val="en-US" w:eastAsia="zh-CN" w:bidi="ar"/>
              </w:rPr>
            </w:pPr>
            <w:r>
              <w:rPr>
                <w:rFonts w:ascii="宋体" w:eastAsia="宋体" w:hAnsi="宋体" w:cs="宋体"/>
                <w:b/>
                <w:bCs/>
                <w:color w:val="FF0000"/>
                <w:kern w:val="0"/>
                <w:sz w:val="21"/>
                <w:szCs w:val="21"/>
                <w:lang w:val="en-US" w:eastAsia="zh-CN" w:bidi="ar"/>
              </w:rPr>
              <w:t>流动相配比</w:t>
            </w:r>
          </w:p>
          <w:p w14:paraId="35CD535B">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(磷酸盐缓冲液：乙腈)</w:t>
            </w:r>
          </w:p>
        </w:tc>
        <w:tc>
          <w:tcPr>
            <w:tcW w:w="0" w:type="auto"/>
            <w:shd w:val="clear" w:color="auto" w:fill="auto"/>
            <w:tcMar>
              <w:top w:w="120" w:type="dxa"/>
              <w:left w:w="120" w:type="dxa"/>
              <w:bottom w:w="120" w:type="dxa"/>
              <w:right w:w="120" w:type="dxa"/>
            </w:tcMar>
            <w:vAlign w:val="center"/>
          </w:tcPr>
          <w:p w14:paraId="3F13E801">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关键性能表现</w:t>
            </w:r>
          </w:p>
        </w:tc>
        <w:tc>
          <w:tcPr>
            <w:tcW w:w="0" w:type="auto"/>
            <w:shd w:val="clear" w:color="auto" w:fill="auto"/>
            <w:tcMar>
              <w:top w:w="120" w:type="dxa"/>
              <w:left w:w="120" w:type="dxa"/>
              <w:bottom w:w="120" w:type="dxa"/>
              <w:right w:w="120" w:type="dxa"/>
            </w:tcMar>
            <w:vAlign w:val="center"/>
          </w:tcPr>
          <w:p w14:paraId="38A60319">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适用情况</w:t>
            </w:r>
          </w:p>
        </w:tc>
      </w:tr>
      <w:tr w14:paraId="346B5EA4">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D6E666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95:5</w:t>
            </w:r>
          </w:p>
        </w:tc>
        <w:tc>
          <w:tcPr>
            <w:tcW w:w="0" w:type="auto"/>
            <w:shd w:val="clear" w:color="auto" w:fill="auto"/>
            <w:tcMar>
              <w:top w:w="120" w:type="dxa"/>
              <w:left w:w="120" w:type="dxa"/>
              <w:bottom w:w="120" w:type="dxa"/>
              <w:right w:w="120" w:type="dxa"/>
            </w:tcMar>
            <w:vAlign w:val="center"/>
          </w:tcPr>
          <w:p w14:paraId="04C17F7E">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洗脱强度最低，批间RSD为0.8%，基线漂移为0.7mAU，最稳定</w:t>
            </w:r>
          </w:p>
        </w:tc>
        <w:tc>
          <w:tcPr>
            <w:tcW w:w="0" w:type="auto"/>
            <w:shd w:val="clear" w:color="auto" w:fill="auto"/>
            <w:tcMar>
              <w:top w:w="120" w:type="dxa"/>
              <w:left w:w="120" w:type="dxa"/>
              <w:bottom w:w="120" w:type="dxa"/>
              <w:right w:w="120" w:type="dxa"/>
            </w:tcMar>
            <w:vAlign w:val="center"/>
          </w:tcPr>
          <w:p w14:paraId="5BCFA779">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出峰总时长38 min，分析通量低，不适合大批量样品检测</w:t>
            </w:r>
          </w:p>
        </w:tc>
      </w:tr>
      <w:tr w14:paraId="5AF8A3FE">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24E05DB">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90:10</w:t>
            </w:r>
          </w:p>
        </w:tc>
        <w:tc>
          <w:tcPr>
            <w:tcW w:w="0" w:type="auto"/>
            <w:shd w:val="clear" w:color="auto" w:fill="auto"/>
            <w:tcMar>
              <w:top w:w="120" w:type="dxa"/>
              <w:left w:w="120" w:type="dxa"/>
              <w:bottom w:w="120" w:type="dxa"/>
              <w:right w:w="120" w:type="dxa"/>
            </w:tcMar>
            <w:vAlign w:val="center"/>
          </w:tcPr>
          <w:p w14:paraId="084E5A6F">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总出峰时间31 min；GMP和IMP的Rs为1.3，批间峰面积RSD&lt;2.5%，基线漂移1.1mAU</w:t>
            </w:r>
          </w:p>
        </w:tc>
        <w:tc>
          <w:tcPr>
            <w:tcW w:w="0" w:type="auto"/>
            <w:shd w:val="clear" w:color="auto" w:fill="auto"/>
            <w:tcMar>
              <w:top w:w="120" w:type="dxa"/>
              <w:left w:w="120" w:type="dxa"/>
              <w:bottom w:w="120" w:type="dxa"/>
              <w:right w:w="120" w:type="dxa"/>
            </w:tcMar>
            <w:vAlign w:val="center"/>
          </w:tcPr>
          <w:p w14:paraId="57B80638">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检测效率与基线稳定性综合平衡，适用范围最广</w:t>
            </w:r>
          </w:p>
        </w:tc>
      </w:tr>
      <w:tr w14:paraId="28405277">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692599D2">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85:15</w:t>
            </w:r>
          </w:p>
        </w:tc>
        <w:tc>
          <w:tcPr>
            <w:tcW w:w="0" w:type="auto"/>
            <w:shd w:val="clear" w:color="auto" w:fill="auto"/>
            <w:tcMar>
              <w:top w:w="120" w:type="dxa"/>
              <w:left w:w="120" w:type="dxa"/>
              <w:bottom w:w="120" w:type="dxa"/>
              <w:right w:w="120" w:type="dxa"/>
            </w:tcMar>
            <w:vAlign w:val="center"/>
          </w:tcPr>
          <w:p w14:paraId="1D5BDC0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洗脱强度太大；GMP和IMP的保留时间相差0.4min，Rs=0.9，基线噪声2.0mAU</w:t>
            </w:r>
          </w:p>
        </w:tc>
        <w:tc>
          <w:tcPr>
            <w:tcW w:w="0" w:type="auto"/>
            <w:shd w:val="clear" w:color="auto" w:fill="auto"/>
            <w:tcMar>
              <w:top w:w="120" w:type="dxa"/>
              <w:left w:w="120" w:type="dxa"/>
              <w:bottom w:w="120" w:type="dxa"/>
              <w:right w:w="120" w:type="dxa"/>
            </w:tcMar>
            <w:vAlign w:val="center"/>
          </w:tcPr>
          <w:p w14:paraId="58E7B8ED">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干扰低含量嘌呤核苷酸定量，婴幼儿食品基质不推荐使用</w:t>
            </w:r>
          </w:p>
        </w:tc>
      </w:tr>
    </w:tbl>
    <w:p w14:paraId="242B8F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2.3不同洗脱方式的检测效率对比</w:t>
      </w:r>
    </w:p>
    <w:p w14:paraId="3DA298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等度洗脱、梯度洗脱两种模式对于检测效率的影响主要表现在峰形控制、含量动态范围匹配性以及批次稳定性这三个方面，两者各有利弊，存在着性能上的取舍。</w:t>
      </w:r>
      <w:r>
        <w:rPr>
          <w:rFonts w:ascii="Calibri" w:eastAsia="宋体" w:hAnsi="Calibri" w:cs="Times New Roman" w:hint="eastAsia"/>
          <w:color w:val="FF0000"/>
          <w:lang w:val="en-US" w:eastAsia="zh-CN"/>
        </w:rPr>
        <w:t>见表4.</w:t>
      </w:r>
    </w:p>
    <w:p w14:paraId="19EA26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Calibri" w:eastAsia="宋体" w:hAnsi="Calibri" w:cs="Times New Roman" w:hint="eastAsia"/>
          <w:color w:val="FF0000"/>
        </w:rPr>
      </w:pPr>
      <w:r>
        <w:rPr>
          <w:rFonts w:ascii="Calibri" w:eastAsia="宋体" w:hAnsi="Calibri" w:cs="Times New Roman" w:hint="eastAsia"/>
          <w:color w:val="FF0000"/>
        </w:rPr>
        <w:t>表4不同洗脱方式性能对比</w:t>
      </w:r>
    </w:p>
    <w:tbl>
      <w:tblPr>
        <w:tblStyle w:val="TableNormal"/>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102"/>
        <w:gridCol w:w="3818"/>
        <w:gridCol w:w="3626"/>
      </w:tblGrid>
      <w:tr w14:paraId="7FD076E6">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blHeader/>
        </w:trPr>
        <w:tc>
          <w:tcPr>
            <w:tcW w:w="645"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7E345C6">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洗脱方式</w:t>
            </w:r>
          </w:p>
        </w:tc>
        <w:tc>
          <w:tcPr>
            <w:tcW w:w="2234"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ED51FA9">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核心优势</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70A6D00C">
            <w:pPr>
              <w:keepNext w:val="0"/>
              <w:keepLines w:val="0"/>
              <w:widowControl/>
              <w:suppressLineNumbers w:val="0"/>
              <w:jc w:val="center"/>
              <w:rPr>
                <w:rFonts w:ascii="Calibri" w:eastAsia="宋体" w:hAnsi="Calibri" w:cs="Times New Roman"/>
                <w:b/>
                <w:bCs/>
                <w:color w:val="FF0000"/>
                <w:sz w:val="21"/>
                <w:szCs w:val="21"/>
              </w:rPr>
            </w:pPr>
            <w:r>
              <w:rPr>
                <w:rFonts w:ascii="宋体" w:eastAsia="宋体" w:hAnsi="宋体" w:cs="宋体"/>
                <w:b/>
                <w:bCs/>
                <w:color w:val="FF0000"/>
                <w:kern w:val="0"/>
                <w:sz w:val="21"/>
                <w:szCs w:val="21"/>
                <w:lang w:val="en-US" w:eastAsia="zh-CN" w:bidi="ar"/>
              </w:rPr>
              <w:t>存在不足</w:t>
            </w:r>
          </w:p>
        </w:tc>
      </w:tr>
      <w:tr w14:paraId="17880729">
        <w:tblPrEx>
          <w:tblW w:w="5000" w:type="pct"/>
          <w:tblInd w:w="0" w:type="dxa"/>
          <w:shd w:val="clear" w:color="auto" w:fill="auto"/>
          <w:tblCellMar>
            <w:top w:w="15" w:type="dxa"/>
            <w:left w:w="15" w:type="dxa"/>
            <w:bottom w:w="15" w:type="dxa"/>
            <w:right w:w="15" w:type="dxa"/>
          </w:tblCellMar>
        </w:tblPrEx>
        <w:tc>
          <w:tcPr>
            <w:tcW w:w="645"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5C07EA57">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等度洗脱</w:t>
            </w:r>
          </w:p>
        </w:tc>
        <w:tc>
          <w:tcPr>
            <w:tcW w:w="2234"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60BBEE7">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90%的流动相和10%的流动相混合，基线稳定，批间RSD≤1.5%，重现性好，操作方便，对操作人员的技术要求低</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75CF0D7B">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晚出峰组分的峰底宽是早出峰组分的1.7倍大；峰展宽降低定量上限，含量动态范围窄，不能满足组分含量变化大的样品。</w:t>
            </w:r>
          </w:p>
        </w:tc>
      </w:tr>
      <w:tr w14:paraId="26B90A7C">
        <w:tblPrEx>
          <w:tblW w:w="5000" w:type="pct"/>
          <w:tblInd w:w="0" w:type="dxa"/>
          <w:shd w:val="clear" w:color="auto" w:fill="auto"/>
          <w:tblCellMar>
            <w:top w:w="15" w:type="dxa"/>
            <w:left w:w="15" w:type="dxa"/>
            <w:bottom w:w="15" w:type="dxa"/>
            <w:right w:w="15" w:type="dxa"/>
          </w:tblCellMar>
        </w:tblPrEx>
        <w:tc>
          <w:tcPr>
            <w:tcW w:w="645"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9177CD4">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梯度洗脱</w:t>
            </w:r>
          </w:p>
        </w:tc>
        <w:tc>
          <w:tcPr>
            <w:tcW w:w="2234" w:type="pct"/>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DD495E9">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峰底宽比等度洗脱平均减少22%，LOD减少18%左右，适合0.1～</w:t>
            </w:r>
            <w:r>
              <w:rPr>
                <w:rFonts w:ascii="宋体" w:eastAsia="宋体" w:hAnsi="宋体" w:cs="宋体"/>
                <w:color w:val="FF0000"/>
                <w:kern w:val="0"/>
                <w:sz w:val="21"/>
                <w:szCs w:val="21"/>
                <w:lang w:val="en-US" w:eastAsia="zh-CN" w:bidi="ar"/>
              </w:rPr>
              <w:t>5</w:t>
            </w:r>
            <w:r>
              <w:rPr>
                <w:rFonts w:ascii="宋体" w:eastAsia="宋体" w:hAnsi="宋体" w:cs="宋体"/>
                <w:color w:val="FF0000"/>
                <w:kern w:val="0"/>
                <w:sz w:val="21"/>
                <w:szCs w:val="21"/>
                <w:lang w:val="en-US" w:eastAsia="zh-CN" w:bidi="ar"/>
              </w:rPr>
              <w:t>.0mg/100g含量范围的样品测定，定量准确度高</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33C1BFCE">
            <w:pPr>
              <w:keepNext w:val="0"/>
              <w:keepLines w:val="0"/>
              <w:widowControl/>
              <w:suppressLineNumbers w:val="0"/>
              <w:jc w:val="center"/>
              <w:rPr>
                <w:rFonts w:ascii="Calibri" w:eastAsia="宋体" w:hAnsi="Calibri" w:cs="Times New Roman"/>
                <w:color w:val="FF0000"/>
                <w:sz w:val="21"/>
                <w:szCs w:val="21"/>
              </w:rPr>
            </w:pPr>
            <w:r>
              <w:rPr>
                <w:rFonts w:ascii="宋体" w:eastAsia="宋体" w:hAnsi="宋体" w:cs="宋体"/>
                <w:color w:val="FF0000"/>
                <w:kern w:val="0"/>
                <w:sz w:val="21"/>
                <w:szCs w:val="21"/>
                <w:lang w:val="en-US" w:eastAsia="zh-CN" w:bidi="ar"/>
              </w:rPr>
              <w:t>每次进样前需要10 min再平衡，整体操作复杂度有所上升</w:t>
            </w:r>
          </w:p>
        </w:tc>
      </w:tr>
    </w:tbl>
    <w:p w14:paraId="52E54A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2.4不同检测波长的检出灵敏度对比</w:t>
      </w:r>
    </w:p>
    <w:p w14:paraId="108D1F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嘌呤类、嘧啶类核苷酸的紫外最大吸收波长差别很大，不同的波长对于两种物质的敏感程度不同，要根据实际检测的侧重点来挑选合适的波长。利用DAD检测器可以实现两个通道的同步采集，可以提高整个检出的水平。</w:t>
      </w:r>
      <w:r>
        <w:rPr>
          <w:rFonts w:ascii="Calibri" w:eastAsia="宋体" w:hAnsi="Calibri" w:cs="Times New Roman" w:hint="eastAsia"/>
          <w:color w:val="FF0000"/>
          <w:lang w:val="en-US" w:eastAsia="zh-CN"/>
        </w:rPr>
        <w:t>见表5.</w:t>
      </w:r>
    </w:p>
    <w:p w14:paraId="1E8C6A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Calibri" w:eastAsia="宋体" w:hAnsi="Calibri" w:cs="Times New Roman" w:hint="eastAsia"/>
          <w:color w:val="FF0000"/>
        </w:rPr>
      </w:pPr>
      <w:r>
        <w:rPr>
          <w:rFonts w:ascii="Calibri" w:eastAsia="宋体" w:hAnsi="Calibri" w:cs="Times New Roman" w:hint="eastAsia"/>
          <w:color w:val="FF0000"/>
        </w:rPr>
        <w:t>表5不同检测波长灵敏度特征对比</w:t>
      </w:r>
    </w:p>
    <w:tbl>
      <w:tblPr>
        <w:tblStyle w:val="TableNormal"/>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2103"/>
        <w:gridCol w:w="2698"/>
        <w:gridCol w:w="3745"/>
      </w:tblGrid>
      <w:tr w14:paraId="49F44EBB">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0136BC6">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检测波长</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FEEAAF1">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针对组分响应特点</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0E7A174">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检出限与应用局限</w:t>
            </w:r>
          </w:p>
        </w:tc>
      </w:tr>
      <w:tr w14:paraId="3FBAE792">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E8F1843">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240 nm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75167AD">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CMP、UMP嘧啶环响应最强的峰高为254nm，1.3倍</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6C2B348D">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嘌呤类摩尔吸光系数小，LOD约0.55 mg/100 g，低添加样品易漏检</w:t>
            </w:r>
          </w:p>
        </w:tc>
      </w:tr>
      <w:tr w14:paraId="16D99B45">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4B78037">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254 nm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3604F99A">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五种核苷酸组分响应水平均衡</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51827434">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LOD在0.25-0</w:t>
            </w:r>
            <w:r>
              <w:rPr>
                <w:rFonts w:ascii="宋体" w:eastAsia="宋体" w:hAnsi="宋体" w:cs="宋体"/>
                <w:color w:val="FF0000"/>
                <w:kern w:val="0"/>
                <w:sz w:val="21"/>
                <w:szCs w:val="21"/>
                <w:lang w:val="en-US" w:eastAsia="zh-CN" w:bidi="ar"/>
              </w:rPr>
              <w:t>.</w:t>
            </w:r>
            <w:r>
              <w:rPr>
                <w:rFonts w:ascii="宋体" w:eastAsia="宋体" w:hAnsi="宋体" w:cs="宋体"/>
                <w:color w:val="FF0000"/>
                <w:kern w:val="0"/>
                <w:sz w:val="21"/>
                <w:szCs w:val="21"/>
                <w:lang w:val="en-US" w:eastAsia="zh-CN" w:bidi="ar"/>
              </w:rPr>
              <w:t>35mg/100g之间，可以同时对多种组分进行定量，通用性好</w:t>
            </w:r>
          </w:p>
        </w:tc>
      </w:tr>
      <w:tr w14:paraId="42B452F8">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22001A97">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260 nm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490CA97">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契合嘌呤类吸收峰，AMP摩尔吸光系数相比254 nm提升18%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4BE286F7">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LOD可以低至0.15mg/100g，对于嘌呤类含量较低的样品有较好的检测保障效果</w:t>
            </w:r>
          </w:p>
        </w:tc>
      </w:tr>
      <w:tr w14:paraId="00DE1A3A">
        <w:tblPrEx>
          <w:tblW w:w="5000" w:type="pct"/>
          <w:tblInd w:w="0" w:type="dxa"/>
          <w:shd w:val="clear" w:color="auto" w:fill="auto"/>
          <w:tblCellMar>
            <w:top w:w="15" w:type="dxa"/>
            <w:left w:w="15" w:type="dxa"/>
            <w:bottom w:w="15" w:type="dxa"/>
            <w:right w:w="15" w:type="dxa"/>
          </w:tblCellMar>
        </w:tblPrEx>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31B643CA">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240 nm+260 nm（DAD双通道）</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147FA391">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嘌呤、嘧啶分别采用各自最优采集通道</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20" w:type="dxa"/>
              <w:left w:w="120" w:type="dxa"/>
              <w:bottom w:w="120" w:type="dxa"/>
              <w:right w:w="120" w:type="dxa"/>
            </w:tcMar>
            <w:vAlign w:val="center"/>
          </w:tcPr>
          <w:p w14:paraId="0B04E539">
            <w:pPr>
              <w:keepNext w:val="0"/>
              <w:keepLines w:val="0"/>
              <w:widowControl/>
              <w:suppressLineNumbers w:val="0"/>
              <w:jc w:val="center"/>
              <w:rPr>
                <w:rFonts w:ascii="宋体" w:eastAsia="宋体" w:hAnsi="宋体" w:cs="宋体"/>
                <w:color w:val="FF0000"/>
                <w:kern w:val="0"/>
                <w:sz w:val="21"/>
                <w:szCs w:val="21"/>
                <w:lang w:val="en-US" w:eastAsia="zh-CN" w:bidi="ar"/>
              </w:rPr>
            </w:pPr>
            <w:r>
              <w:rPr>
                <w:rFonts w:ascii="宋体" w:eastAsia="宋体" w:hAnsi="宋体" w:cs="宋体"/>
                <w:color w:val="FF0000"/>
                <w:kern w:val="0"/>
                <w:sz w:val="21"/>
                <w:szCs w:val="21"/>
                <w:lang w:val="en-US" w:eastAsia="zh-CN" w:bidi="ar"/>
              </w:rPr>
              <w:t>相比单一254 nm，整体LOD下降25%</w:t>
            </w:r>
          </w:p>
        </w:tc>
      </w:tr>
    </w:tbl>
    <w:p w14:paraId="0D9623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3不同液相色谱检测条件适配婴幼儿食品的应用优势分析</w:t>
      </w:r>
    </w:p>
    <w:p w14:paraId="72944C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3.1常规检测条件的适用场景与基础优势</w:t>
      </w:r>
    </w:p>
    <w:p w14:paraId="09B77B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以C18柱为载体，90:10的流动相作为流动相，等度洗脱的方式以及254nm的波长组成常规检测方案，具有方法成熟、操作简单的优势，在婴幼儿食品核苷酸日常检验的场景里有较好的适用性。C18柱装机率高、寿命长、维护费用比较合理，等度洗脱不需要设计梯度程序，参数固定简单，批次间重现性对操作人员技术要求不高，254nm波长可以很好地覆盖五种组分的响应范围，单波长定量简化了操作环节，常规方法与GB5413.40等现行国家标准的数据对比较多，在监管检验、委托检测等合规场景里有直接引用的依据，是操作效率、合规性、人员匹配较好的日常检测基本选择方案</w:t>
      </w:r>
      <w:r>
        <w:rPr>
          <w:rFonts w:ascii="Calibri" w:eastAsia="宋体" w:hAnsi="Calibri" w:cs="Times New Roman" w:hint="eastAsia"/>
          <w:color w:val="FF0000"/>
          <w:vertAlign w:val="superscript"/>
        </w:rPr>
        <w:t>[</w:t>
      </w:r>
      <w:r>
        <w:rPr>
          <w:rFonts w:ascii="Calibri" w:eastAsia="宋体" w:hAnsi="Calibri" w:cs="Times New Roman" w:hint="eastAsia"/>
          <w:color w:val="FF0000"/>
          <w:vertAlign w:val="superscript"/>
          <w:lang w:val="en-US" w:eastAsia="zh-CN"/>
        </w:rPr>
        <w:t>3</w:t>
      </w:r>
      <w:r>
        <w:rPr>
          <w:rFonts w:ascii="Calibri" w:eastAsia="宋体" w:hAnsi="Calibri" w:cs="Times New Roman" w:hint="eastAsia"/>
          <w:color w:val="FF0000"/>
          <w:vertAlign w:val="superscript"/>
        </w:rPr>
        <w:t>]</w:t>
      </w:r>
      <w:r>
        <w:rPr>
          <w:rFonts w:ascii="Calibri" w:eastAsia="宋体" w:hAnsi="Calibri" w:cs="Times New Roman" w:hint="eastAsia"/>
          <w:color w:val="FF0000"/>
        </w:rPr>
        <w:t>。</w:t>
      </w:r>
    </w:p>
    <w:p w14:paraId="342FD5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3.2优化色谱柱条件对复杂基质婴幼儿食品的检测优势</w:t>
      </w:r>
    </w:p>
    <w:p w14:paraId="3DBF35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婴幼儿食品品种跨度大，从液态配方奶到谷物米粉，各类产品的基质干扰物组成差别大，C18柱对高脂、高淀粉基质的选择性降低的缺点在多品类检测时被集中表现出来，色谱柱针对性优化是提高复杂基质检测准确性的主要途径。SAX柱依靠强阴离子交换机理，脂类、游离氨基酸等没有负电荷的干扰物在柱上几乎没有保留，核苷酸峰背景干净，基质信噪比比C18柱高约40%左右，高脂配方奶粉检测的适应性最好；NH</w:t>
      </w:r>
      <w:r>
        <w:rPr>
          <w:rFonts w:ascii="Calibri" w:eastAsia="宋体" w:hAnsi="Calibri" w:cs="Times New Roman" w:hint="eastAsia"/>
          <w:color w:val="FF0000"/>
          <w:vertAlign w:val="subscript"/>
          <w:lang w:val="en-US" w:eastAsia="zh-CN"/>
        </w:rPr>
        <w:t>2</w:t>
      </w:r>
      <w:r>
        <w:rPr>
          <w:rFonts w:ascii="Calibri" w:eastAsia="宋体" w:hAnsi="Calibri" w:cs="Times New Roman" w:hint="eastAsia"/>
          <w:color w:val="FF0000"/>
        </w:rPr>
        <w:t>氨基柱对糖类干扰物排斥能力强，淀粉降解产物保留时间短，和核苷酸峰没有位置重叠，婴幼儿谷物辅食、米粉的基质净化针对性更强；根据不同的品类基质干扰特征提前选择合适的色谱柱类型，在保证前处理简单的同时降低假阳性干扰，这是优化色谱柱策略对于婴幼儿食品检测最直接、最直接的实践意义。</w:t>
      </w:r>
    </w:p>
    <w:p w14:paraId="2C7819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3.3改良流动相与洗脱条件的精准检测优势</w:t>
      </w:r>
    </w:p>
    <w:p w14:paraId="6E0181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流动相pH细致调节、缓冲盐浓度调节以及梯度洗脱程序设计三者相结合，一起在婴幼儿食品核苷酸检测中起到提高分辨率、扩大定量动态范围的作用。流动相pH由6.0降到5.5的时候，GMP和IMP的磷酸根电离程度差别变大，分配系数的差别也变大，Rs由原来的1.1变成现在的1.6，解决了中性环境下无法达到基线分离的难题，对含有IMP的配方产品进行成分检验有直接的意义；磷酸盐缓冲液的浓度从原来的10 mmol/L增加到20 mmol/L之后，溶液离子强度增加，峰形不对称因子从1.4降低到1.15，低含量组分积分边界也变得比较清楚，梯度洗脱时含量在0.1到5.0mg/100g范围内标准曲线的相关系数r2均大于0.9998，比等度洗脱低浓度段非线性偏离小，多项改进的条件互相配合，使精准定量的可靠范围往低含量方向延伸了。</w:t>
      </w:r>
    </w:p>
    <w:p w14:paraId="79AE31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3.4适配低含量核苷酸检测的波长优化优势</w:t>
      </w:r>
    </w:p>
    <w:p w14:paraId="3F00AB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Calibri" w:eastAsia="宋体" w:hAnsi="Calibri" w:cs="Times New Roman" w:hint="eastAsia"/>
          <w:color w:val="FF0000"/>
        </w:rPr>
      </w:pPr>
      <w:r>
        <w:rPr>
          <w:rFonts w:ascii="Calibri" w:eastAsia="宋体" w:hAnsi="Calibri" w:cs="Times New Roman" w:hint="eastAsia"/>
          <w:color w:val="FF0000"/>
        </w:rPr>
        <w:t>婴幼儿配方食品核苷酸添加量有严格的标准规定，部分嘌呤类组分的含量和常规条件下检出下限值相差不大，波长优化是不需要增加仪器投资的前提下提高灵敏度、成本最低的一种方法改进手段</w:t>
      </w:r>
      <w:r>
        <w:rPr>
          <w:rFonts w:ascii="Calibri" w:eastAsia="宋体" w:hAnsi="Calibri" w:cs="Times New Roman" w:hint="eastAsia"/>
          <w:color w:val="FF0000"/>
          <w:vertAlign w:val="superscript"/>
        </w:rPr>
        <w:t>[</w:t>
      </w:r>
      <w:r>
        <w:rPr>
          <w:rFonts w:ascii="Calibri" w:eastAsia="宋体" w:hAnsi="Calibri" w:cs="Times New Roman" w:hint="eastAsia"/>
          <w:color w:val="FF0000"/>
          <w:vertAlign w:val="superscript"/>
          <w:lang w:val="en-US" w:eastAsia="zh-CN"/>
        </w:rPr>
        <w:t>4</w:t>
      </w:r>
      <w:r>
        <w:rPr>
          <w:rFonts w:ascii="Calibri" w:eastAsia="宋体" w:hAnsi="Calibri" w:cs="Times New Roman" w:hint="eastAsia"/>
          <w:color w:val="FF0000"/>
          <w:vertAlign w:val="superscript"/>
        </w:rPr>
        <w:t>]</w:t>
      </w:r>
      <w:r>
        <w:rPr>
          <w:rFonts w:ascii="Calibri" w:eastAsia="宋体" w:hAnsi="Calibri" w:cs="Times New Roman" w:hint="eastAsia"/>
          <w:color w:val="FF0000"/>
        </w:rPr>
        <w:t>。配方奶粉中AMP的典型添加量为0.15～0.80mg/100g，低端产品的AMP含量和254nm条件下LOQ（大约0.30mg/100g）重叠，漏检的客观危险是存在的；切换到260nm之后AMP的LOD降低到0.10mg/100g以下，检出范围也往更小含量的地方延伸，弥补了常规检测方法的检测盲区；IMP在260nm处峰高的响应提升约20%，批内精密度RSD由原来的3.1%降到现在的2.3%，定量重现性更好；DAD检测器一次进样同时对260nm、240nm的嘌呤类和嘧啶类进行提取，嘌呤类取260nm通道输出，嘧啶类取240nm通道输出，LOD比单一的254nm条件低约25%，是婴幼儿食品低含量核苷酸高灵敏度检测中最为容易实现的波长应用方案。</w:t>
      </w:r>
    </w:p>
    <w:p w14:paraId="4695EE5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6EB262"/>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2026-11-04T16:59:26Z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