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95E7BC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建筑土木工程施工中的基坑支护技术应用探讨</w:t>
      </w:r>
    </w:p>
    <w:p w14:paraId="7B7F946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0" w:name="heading_0"/>
      <w:r>
        <w:rPr>
          <w:rFonts w:ascii="宋体" w:eastAsia="宋体" w:hAnsi="宋体" w:cs="宋体" w:hint="eastAsia"/>
          <w:b w:val="0"/>
          <w:bCs/>
          <w:sz w:val="21"/>
          <w:szCs w:val="21"/>
        </w:rPr>
        <w:t>摘要</w:t>
      </w:r>
      <w:bookmarkEnd w:id="0"/>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城市地下空间的开发利用使得基坑工程越来越多地出现在用地紧张、周边管线密集的建成区内，传统的排桩加水平内支撑支护模式在这样的场地条件下已经暴露出占地多、工序串行、材料消耗大的缺点。文章以杭州市塘栖镇某砂土地基基坑为依托，根据开挖面积大、局部降板深、场地小且南侧靠近已有的道路及市政管线的限制，提出采用PC工法组合钢管桩与钢格构斜向支撑桩支护方案。采用启明星软件剖面对比计算、Plaxis二维小应变硬化数值模拟、现场深层土体位移监测三种方法相结合的方式进行了验证，得出斜向支撑轴向力标准值为631.5kN/m、前排桩最大水平位移为38.0mm等量化数据，单桩极限承载力验算值大于1448kN，安全富余满足要求。经由研究得知，此种支护体系对于砂土地基的支撑是可靠的，可以实施全敞开式的开挖，比水平支撑节约钢材、混凝土用量很多，可以给相似受限制场地基坑支护提供可复制的技术方案。</w:t>
      </w:r>
    </w:p>
    <w:p w14:paraId="44E8CC3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关键词</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基坑支护</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钢格构斜向支撑桩</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砂土地基</w:t>
      </w:r>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监测反馈</w:t>
      </w:r>
    </w:p>
    <w:p w14:paraId="7A68AB7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1" w:name="heading_1"/>
      <w:r>
        <w:rPr>
          <w:rFonts w:ascii="宋体" w:eastAsia="宋体" w:hAnsi="宋体" w:cs="宋体" w:hint="eastAsia"/>
          <w:b w:val="0"/>
          <w:bCs/>
          <w:sz w:val="21"/>
          <w:szCs w:val="21"/>
        </w:rPr>
        <w:t>引言</w:t>
      </w:r>
      <w:bookmarkEnd w:id="1"/>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基坑支护是土木工程实施过程中直接涉及工程本体和周围环境安全的重要工作，在进行基坑支护工程的选择时，要仔细权衡结构受力情况、场地限制、工期成本及环境情况。近些年来随着城市更新以及地下空间开发深入发展，深基坑在建筑密集、地下管线繁杂、场地不足的建成区中也越来越多地被采用。水平支撑占用坑内空间，限制土方整体开挖，拆撑工作繁杂，钢材消耗量大，给绿色施工、降本增效提出较高要求。软土和砂性土地层中，该矛盾越明显，场地浅水位、高渗透性一起增大了止水降水的难度，支护体系一般要一起完成挡土、止水和控变形这三项工作。怎样打破水平支撑路径依赖，在保证安全的基础上压缩材料投入、缩短工期，就成为基坑工程发展进程中必须加以探究的重要现实问题。</w:t>
      </w:r>
    </w:p>
    <w:p w14:paraId="578CFA1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绿色低碳以及智能建造成为建筑业发展的主要方向以后，基坑支护节材降耗、数字检验的意义已经超越了单纯的经济问题，是行业转型的必然要求。本文以杭州市塘栖镇某砂土地基基坑工程为研究对象，从基坑支护钢格构斜向支撑桩支护体系的选型依据、结构组成、设计验算、施工组织入手，结合数值模拟和现场监测数据对支护效果进行检验，希望给类似受限制场地基坑支护工程提供一定的技术支撑。相对于兰州地铁定西路站红砂岩深基坑所采取的咬合桩加内支撑方案，在砂土地基，大面积开挖并且局部加深的情况下找到了一条节材高效的新路，比较的价值在于设计思想、受力模式上，有较强的前瞻性。</w:t>
      </w:r>
    </w:p>
    <w:p w14:paraId="61F1EBE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2" w:name="heading_2"/>
      <w:r>
        <w:rPr>
          <w:rFonts w:ascii="宋体" w:eastAsia="宋体" w:hAnsi="宋体" w:cs="宋体" w:hint="eastAsia"/>
          <w:b w:val="0"/>
          <w:bCs/>
          <w:sz w:val="21"/>
          <w:szCs w:val="21"/>
          <w:lang w:val="en-US" w:eastAsia="zh-CN"/>
        </w:rPr>
        <w:t>1</w:t>
      </w:r>
      <w:r>
        <w:rPr>
          <w:rFonts w:ascii="宋体" w:eastAsia="宋体" w:hAnsi="宋体" w:cs="宋体" w:hint="eastAsia"/>
          <w:b w:val="0"/>
          <w:bCs/>
          <w:sz w:val="21"/>
          <w:szCs w:val="21"/>
        </w:rPr>
        <w:t>工程概况与场地条件</w:t>
      </w:r>
      <w:bookmarkEnd w:id="2"/>
    </w:p>
    <w:p w14:paraId="7AB58C5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工程位于杭州市塘栖镇，规划为整体一层地下室、局部降板部分由于功能上的原因加深挖土量。基坑开挖面积约12460m²，周长约860m，大面积开挖深度约5.20m，局部降板区域开挖深度达8.30m。场地临近已建道路及市政管线，降板区域南侧与现有道路直接相邻，地下管线保护等级较高，四周作业空间有限，不能进行大面积的放坡开挖。场地勘探开挖范围内土层主要为砂性土，自上而下依次为杂填土、粉质黏土夹粉土、1砂质粉土、2砂质粉土、3砂质粉土夹粉砂，砂性土一般厚度为18.0m左右，含水量较高，渗透性强。</w:t>
      </w:r>
    </w:p>
    <w:p w14:paraId="6002327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这种地质条件给支护和降水都提出了考验。浅部孔隙潜水含水多、渗透性好，在开挖扰动的影响下容易产生管涌、流砂，降水组织不好会造成坑壁土体失稳的风险急剧增加。砂性土自稳性差，支护结构必须有足够大的刚度来控制侧向变形，不能对南侧道路和管线正常使用产生影响。综合场地狭小、局部加深、周边敏感三个约束，支护方案要保证支护的刚度和止水性，尽量释放坑内作业空间、缩短施工工期。基坑设计安全等级为二级，变形控制和止水组织是方案评价的主要尺度。</w:t>
      </w:r>
    </w:p>
    <w:p w14:paraId="59A37F7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3" w:name="heading_3"/>
      <w:r>
        <w:rPr>
          <w:rFonts w:ascii="宋体" w:eastAsia="宋体" w:hAnsi="宋体" w:cs="宋体" w:hint="eastAsia"/>
          <w:b w:val="0"/>
          <w:bCs/>
          <w:sz w:val="21"/>
          <w:szCs w:val="21"/>
          <w:lang w:val="en-US" w:eastAsia="zh-CN"/>
        </w:rPr>
        <w:t>2</w:t>
      </w:r>
      <w:r>
        <w:rPr>
          <w:rFonts w:ascii="宋体" w:eastAsia="宋体" w:hAnsi="宋体" w:cs="宋体" w:hint="eastAsia"/>
          <w:b w:val="0"/>
          <w:bCs/>
          <w:sz w:val="21"/>
          <w:szCs w:val="21"/>
        </w:rPr>
        <w:t>支护体系选型与结构构成</w:t>
      </w:r>
      <w:bookmarkEnd w:id="3"/>
    </w:p>
    <w:p w14:paraId="7738E6B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根据以上的工况常规区域使用PC工法组合钢管桩或者拉森钢板桩悬臂桩作为围护体，局部降板处再在PC工法组合钢管桩外侧加设钢格构斜向支撑桩，三者用冠梁连在一起共同承受基坑外侧土压力。选择该种结构考虑的主要因素是，如果继续使用水平内支撑，大面积基坑内纵横交错的支撑杆系将使土方不能整体开挖，支撑的安装及拆卸都会使工期变长，钢材消耗增加。斜向支撑桩斜插入基坑内，一方面可以给基坑提供支撑，另一方面又可以把基坑内的空间全部留给土方开挖和主体结构施工，从根本上杜绝了水平支撑的各种缺陷。</w:t>
      </w:r>
    </w:p>
    <w:p w14:paraId="6B717FD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格构斜向支撑桩结构由支撑段、持力段及桩端水泥加固体组成，支撑段长8m，持力段长6m，桩全长为14m，桩内设有500mm×500mm的钢构柱，下倾角45°，桩端为桩端水泥加固体。钢格构用Q235B角钢和缀板焊接而成，角钢接头采用剖口熔透焊错开500mm，缀板与角钢围焊，焊缝高度为8mm，等级为三级，两端与端板焊后用M24×75高强度螺栓连接，螺栓等级为10.9级。桩体四周用高压旋喷或者强制搅拌注浆制成水泥搅拌加固体，注浆材料采用PO42.5水泥，掺量35%，水灰比0.5～0.7，形成排桩、斜撑桩及基底土体一起抵抗外土压力的三角形稳定支护体系。表1为斜向支撑桩主要结构参数表。</w:t>
      </w:r>
    </w:p>
    <w:p w14:paraId="4B41875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表1钢格构斜向支撑桩主要结构参数</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4140"/>
        <w:gridCol w:w="4140"/>
      </w:tblGrid>
      <w:tr w14:paraId="4710A51F">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5A330D6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参数项目</w:t>
            </w:r>
          </w:p>
        </w:tc>
        <w:tc>
          <w:tcPr>
            <w:tcW w:w="4140" w:type="dxa"/>
            <w:tcMar>
              <w:top w:w="60" w:type="dxa"/>
              <w:left w:w="120" w:type="dxa"/>
              <w:bottom w:w="30" w:type="dxa"/>
              <w:right w:w="120" w:type="dxa"/>
            </w:tcMar>
            <w:vAlign w:val="center"/>
          </w:tcPr>
          <w:p w14:paraId="484D454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设计取值</w:t>
            </w:r>
          </w:p>
        </w:tc>
      </w:tr>
      <w:tr w14:paraId="11AC889C">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25362D6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支撑段长度</w:t>
            </w:r>
          </w:p>
        </w:tc>
        <w:tc>
          <w:tcPr>
            <w:tcW w:w="4140" w:type="dxa"/>
            <w:tcMar>
              <w:top w:w="60" w:type="dxa"/>
              <w:left w:w="120" w:type="dxa"/>
              <w:bottom w:w="30" w:type="dxa"/>
              <w:right w:w="120" w:type="dxa"/>
            </w:tcMar>
            <w:vAlign w:val="center"/>
          </w:tcPr>
          <w:p w14:paraId="4D9D55A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8m</w:t>
            </w:r>
          </w:p>
        </w:tc>
      </w:tr>
      <w:tr w14:paraId="55C20B4C">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749FDD8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持力段长度</w:t>
            </w:r>
          </w:p>
        </w:tc>
        <w:tc>
          <w:tcPr>
            <w:tcW w:w="4140" w:type="dxa"/>
            <w:tcMar>
              <w:top w:w="60" w:type="dxa"/>
              <w:left w:w="120" w:type="dxa"/>
              <w:bottom w:w="30" w:type="dxa"/>
              <w:right w:w="120" w:type="dxa"/>
            </w:tcMar>
            <w:vAlign w:val="center"/>
          </w:tcPr>
          <w:p w14:paraId="0BE8682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6m</w:t>
            </w:r>
          </w:p>
        </w:tc>
      </w:tr>
      <w:tr w14:paraId="5B981A27">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6AA9D0E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桩总长度</w:t>
            </w:r>
          </w:p>
        </w:tc>
        <w:tc>
          <w:tcPr>
            <w:tcW w:w="4140" w:type="dxa"/>
            <w:tcMar>
              <w:top w:w="60" w:type="dxa"/>
              <w:left w:w="120" w:type="dxa"/>
              <w:bottom w:w="30" w:type="dxa"/>
              <w:right w:w="120" w:type="dxa"/>
            </w:tcMar>
            <w:vAlign w:val="center"/>
          </w:tcPr>
          <w:p w14:paraId="3FF9AAE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14m</w:t>
            </w:r>
          </w:p>
        </w:tc>
      </w:tr>
      <w:tr w14:paraId="7497609E">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14392AB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内置钢构柱截面</w:t>
            </w:r>
          </w:p>
        </w:tc>
        <w:tc>
          <w:tcPr>
            <w:tcW w:w="4140" w:type="dxa"/>
            <w:tcMar>
              <w:top w:w="60" w:type="dxa"/>
              <w:left w:w="120" w:type="dxa"/>
              <w:bottom w:w="30" w:type="dxa"/>
              <w:right w:w="120" w:type="dxa"/>
            </w:tcMar>
            <w:vAlign w:val="center"/>
          </w:tcPr>
          <w:p w14:paraId="6E647F4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500mm×500mm</w:t>
            </w:r>
          </w:p>
        </w:tc>
      </w:tr>
      <w:tr w14:paraId="1F172724">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7258F8B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下倾角度</w:t>
            </w:r>
          </w:p>
        </w:tc>
        <w:tc>
          <w:tcPr>
            <w:tcW w:w="4140" w:type="dxa"/>
            <w:tcMar>
              <w:top w:w="60" w:type="dxa"/>
              <w:left w:w="120" w:type="dxa"/>
              <w:bottom w:w="30" w:type="dxa"/>
              <w:right w:w="120" w:type="dxa"/>
            </w:tcMar>
            <w:vAlign w:val="center"/>
          </w:tcPr>
          <w:p w14:paraId="6EBF50B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45°</w:t>
            </w:r>
          </w:p>
        </w:tc>
      </w:tr>
      <w:tr w14:paraId="1BFE2EA6">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7E103A6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搅拌土体直径</w:t>
            </w:r>
          </w:p>
        </w:tc>
        <w:tc>
          <w:tcPr>
            <w:tcW w:w="4140" w:type="dxa"/>
            <w:tcMar>
              <w:top w:w="60" w:type="dxa"/>
              <w:left w:w="120" w:type="dxa"/>
              <w:bottom w:w="30" w:type="dxa"/>
              <w:right w:w="120" w:type="dxa"/>
            </w:tcMar>
            <w:vAlign w:val="center"/>
          </w:tcPr>
          <w:p w14:paraId="3044FF8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1200mm</w:t>
            </w:r>
          </w:p>
        </w:tc>
      </w:tr>
      <w:tr w14:paraId="7DDDBC32">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136A173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钢材牌号</w:t>
            </w:r>
          </w:p>
        </w:tc>
        <w:tc>
          <w:tcPr>
            <w:tcW w:w="4140" w:type="dxa"/>
            <w:tcMar>
              <w:top w:w="60" w:type="dxa"/>
              <w:left w:w="120" w:type="dxa"/>
              <w:bottom w:w="30" w:type="dxa"/>
              <w:right w:w="120" w:type="dxa"/>
            </w:tcMar>
            <w:vAlign w:val="center"/>
          </w:tcPr>
          <w:p w14:paraId="12028EB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Q235B</w:t>
            </w:r>
          </w:p>
        </w:tc>
      </w:tr>
      <w:tr w14:paraId="0DC42860">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0574ECC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连接螺栓</w:t>
            </w:r>
          </w:p>
        </w:tc>
        <w:tc>
          <w:tcPr>
            <w:tcW w:w="4140" w:type="dxa"/>
            <w:tcMar>
              <w:top w:w="60" w:type="dxa"/>
              <w:left w:w="120" w:type="dxa"/>
              <w:bottom w:w="30" w:type="dxa"/>
              <w:right w:w="120" w:type="dxa"/>
            </w:tcMar>
            <w:vAlign w:val="center"/>
          </w:tcPr>
          <w:p w14:paraId="1A076AC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M24×75，10.9级</w:t>
            </w:r>
          </w:p>
        </w:tc>
      </w:tr>
      <w:tr w14:paraId="00F2ECBF">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6FB3F32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水泥掺入量</w:t>
            </w:r>
          </w:p>
        </w:tc>
        <w:tc>
          <w:tcPr>
            <w:tcW w:w="4140" w:type="dxa"/>
            <w:tcMar>
              <w:top w:w="60" w:type="dxa"/>
              <w:left w:w="120" w:type="dxa"/>
              <w:bottom w:w="30" w:type="dxa"/>
              <w:right w:w="120" w:type="dxa"/>
            </w:tcMar>
            <w:vAlign w:val="center"/>
          </w:tcPr>
          <w:p w14:paraId="66A4882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35%</w:t>
            </w:r>
          </w:p>
        </w:tc>
      </w:tr>
      <w:tr w14:paraId="6397E53F">
        <w:tblPrEx>
          <w:tblW w:w="0" w:type="auto"/>
          <w:tblInd w:w="0" w:type="dxa"/>
          <w:tblLayout w:type="fixed"/>
          <w:tblCellMar>
            <w:top w:w="0" w:type="dxa"/>
            <w:left w:w="10" w:type="dxa"/>
            <w:bottom w:w="0" w:type="dxa"/>
            <w:right w:w="10" w:type="dxa"/>
          </w:tblCellMar>
        </w:tblPrEx>
        <w:tc>
          <w:tcPr>
            <w:tcW w:w="4140" w:type="dxa"/>
            <w:tcMar>
              <w:top w:w="60" w:type="dxa"/>
              <w:left w:w="120" w:type="dxa"/>
              <w:bottom w:w="30" w:type="dxa"/>
              <w:right w:w="120" w:type="dxa"/>
            </w:tcMar>
            <w:vAlign w:val="center"/>
          </w:tcPr>
          <w:p w14:paraId="668C981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水灰比</w:t>
            </w:r>
          </w:p>
        </w:tc>
        <w:tc>
          <w:tcPr>
            <w:tcW w:w="4140" w:type="dxa"/>
            <w:tcMar>
              <w:top w:w="60" w:type="dxa"/>
              <w:left w:w="120" w:type="dxa"/>
              <w:bottom w:w="30" w:type="dxa"/>
              <w:right w:w="120" w:type="dxa"/>
            </w:tcMar>
            <w:vAlign w:val="center"/>
          </w:tcPr>
          <w:p w14:paraId="7341A1A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0.5～0.7</w:t>
            </w:r>
          </w:p>
        </w:tc>
      </w:tr>
    </w:tbl>
    <w:p w14:paraId="4A529F0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为了提高整体刚度，冠梁截面取3600mm×600mm，混凝土强度等级C30，平面计算长度取50m，等效冠梁刚度为2.15MN/m2，斜向支撑桩计算刚度取2.443MN/m2。局部降板区由于挖深变大，支护体系对于刚度的要求也就越高，斜向支撑桩和冠梁可靠连接是控制变形、防止节点破坏的重要环节。将止水功能部分前移、用斜撑代替水平内支撑的构造思想在保证安全的基础上极大地节省了钢筋混凝土用量，为施工创造了有利条件。</w:t>
      </w:r>
    </w:p>
    <w:p w14:paraId="7C58738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4" w:name="heading_4"/>
      <w:r>
        <w:rPr>
          <w:rFonts w:ascii="宋体" w:eastAsia="宋体" w:hAnsi="宋体" w:cs="宋体" w:hint="eastAsia"/>
          <w:b w:val="0"/>
          <w:bCs/>
          <w:sz w:val="21"/>
          <w:szCs w:val="21"/>
          <w:lang w:val="en-US" w:eastAsia="zh-CN"/>
        </w:rPr>
        <w:t>3</w:t>
      </w:r>
      <w:r>
        <w:rPr>
          <w:rFonts w:ascii="宋体" w:eastAsia="宋体" w:hAnsi="宋体" w:cs="宋体" w:hint="eastAsia"/>
          <w:b w:val="0"/>
          <w:bCs/>
          <w:sz w:val="21"/>
          <w:szCs w:val="21"/>
        </w:rPr>
        <w:t>斜向支撑桩的设计计算与验算</w:t>
      </w:r>
      <w:bookmarkEnd w:id="4"/>
    </w:p>
    <w:p w14:paraId="0E3300C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通过使用同济启明星深基坑计算软件对剖面进行受力分析时，把斜向支撑桩当作弹性支点加入到总模型之中。经过初步的计算考虑到冠梁的刚度，得到斜向支撑轴向力标准值为631.5kN/m，前排桩最大水平位移为38.0mm。由于软件所设定的斜向支撑桩刚度设置偏低，因此计算时还对支撑刚度做了二次计算，经过二次计算后排桩最大水平位移收敛到18.4mm，变形控制较好。斜向支撑桩刚度参数取值是否科学直接关系到计算结果是否可靠，设计时刚度取值要根据结构的实际构造情况慎重确定。</w:t>
      </w:r>
    </w:p>
    <w:p w14:paraId="22C84F0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lang w:eastAsia="zh-CN"/>
        </w:rPr>
      </w:pPr>
      <w:r>
        <w:rPr>
          <w:rFonts w:ascii="宋体" w:eastAsia="宋体" w:hAnsi="宋体" w:cs="宋体" w:hint="eastAsia"/>
          <w:b w:val="0"/>
          <w:bCs/>
          <w:sz w:val="21"/>
          <w:szCs w:val="21"/>
        </w:rPr>
        <w:t>单桩极限承载力验算使用桩基技术规范公式，桩体为水泥搅拌式圆柱体，极限承载力由桩周侧摩阻力和桩端阻力两部分组成，计算公式为（</w:t>
      </w:r>
      <w:r>
        <w:rPr>
          <w:rFonts w:ascii="宋体" w:eastAsia="宋体" w:hAnsi="宋体" w:cs="宋体" w:hint="eastAsia"/>
          <w:b w:val="0"/>
          <w:bCs/>
          <w:sz w:val="21"/>
          <w:szCs w:val="21"/>
          <w:lang w:eastAsia="zh-CN"/>
        </w:rPr>
        <w:t>1</w:t>
      </w:r>
      <w:r>
        <w:rPr>
          <w:rFonts w:ascii="宋体" w:eastAsia="宋体" w:hAnsi="宋体" w:cs="宋体" w:hint="eastAsia"/>
          <w:b w:val="0"/>
          <w:bCs/>
          <w:sz w:val="21"/>
          <w:szCs w:val="21"/>
          <w:lang w:val="en-US" w:eastAsia="zh-CN"/>
        </w:rPr>
        <w:t>）</w:t>
      </w:r>
    </w:p>
    <w:p w14:paraId="67C6817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m:oMathPara>
        <m:oMathParaPr>
          <m:jc m:val="center"/>
        </m:oMathParaPr>
        <m:oMath>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Q</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uk</m:t>
              </m:r>
            </m:sub>
          </m:sSub>
          <m:r>
            <w:rPr>
              <w:rFonts w:ascii="Cambria Math" w:eastAsia="宋体" w:hAnsi="Cambria Math" w:cs="宋体" w:hint="eastAsia"/>
              <w:sz w:val="21"/>
              <w:szCs w:val="21"/>
            </w:rPr>
            <m:t>=u∑</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q</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sik</m:t>
              </m:r>
            </m:sub>
          </m:sSub>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l</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i</m:t>
              </m:r>
            </m:sub>
          </m:sSub>
          <m:r>
            <w:rPr>
              <w:rFonts w:ascii="Cambria Math" w:eastAsia="宋体" w:hAnsi="Cambria Math" w:cs="宋体" w:hint="eastAsia"/>
              <w:sz w:val="21"/>
              <w:szCs w:val="21"/>
            </w:rPr>
            <m:t>+α</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p</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sk</m:t>
              </m:r>
            </m:sub>
          </m:sSub>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A</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p</m:t>
              </m:r>
            </m:sub>
          </m:sSub>
          <m:r>
            <w:rPr>
              <w:rFonts w:ascii="Cambria Math" w:eastAsia="宋体" w:hAnsi="Cambria Math" w:cs="宋体" w:hint="eastAsia"/>
              <w:sz w:val="21"/>
              <w:szCs w:val="21"/>
            </w:rPr>
            <m:t>(1)</m:t>
          </m:r>
        </m:oMath>
      </m:oMathPara>
    </w:p>
    <w:p w14:paraId="24B612F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式中u为桩身周长，qsik为按静力触探比贯入阻力估算的桩周第i层土极限侧阻力，li为桩周第i层土厚度，α为桩端阻力修正系数，psk为桩端附近静力触探比贯入阻力标准值，Ap为桩端面积。代入本工程参数得到公式为</w:t>
      </w:r>
    </w:p>
    <w:p w14:paraId="0A19047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m:oMathPara>
        <m:oMathParaPr>
          <m:jc m:val="center"/>
        </m:oMathParaPr>
        <m:oMath>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Q</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uk</m:t>
              </m:r>
            </m:sub>
          </m:sSub>
          <m:r>
            <w:rPr>
              <w:rFonts w:ascii="Cambria Math" w:eastAsia="宋体" w:hAnsi="Cambria Math" w:cs="宋体" w:hint="eastAsia"/>
              <w:sz w:val="21"/>
              <w:szCs w:val="21"/>
            </w:rPr>
            <m:t>=3.768×(3.6×32+5.6×36)+0.75×300×1.13=1448kN</m:t>
          </m:r>
        </m:oMath>
      </m:oMathPara>
    </w:p>
    <w:p w14:paraId="085066B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单桩承载力特征值用</w:t>
      </w:r>
    </w:p>
    <w:p w14:paraId="74352CB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m:oMathPara>
        <m:oMathParaPr>
          <m:jc m:val="center"/>
        </m:oMathParaPr>
        <m:oMath>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R</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a</m:t>
              </m:r>
            </m:sub>
          </m:sSub>
          <m:r>
            <w:rPr>
              <w:rFonts w:ascii="Cambria Math" w:eastAsia="宋体" w:hAnsi="Cambria Math" w:cs="宋体" w:hint="eastAsia"/>
              <w:sz w:val="21"/>
              <w:szCs w:val="21"/>
            </w:rPr>
            <m:t>=0.5</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Q</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uk</m:t>
              </m:r>
            </m:sub>
          </m:sSub>
          <m:r>
            <w:rPr>
              <w:rFonts w:ascii="Cambria Math" w:eastAsia="宋体" w:hAnsi="Cambria Math" w:cs="宋体" w:hint="eastAsia"/>
              <w:sz w:val="21"/>
              <w:szCs w:val="21"/>
            </w:rPr>
            <m:t>=724kN(2)</m:t>
          </m:r>
        </m:oMath>
      </m:oMathPara>
    </w:p>
    <w:p w14:paraId="63F937B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式计算，取极限承载力的一半，符合设计取值保守稳重的原则。</w:t>
      </w:r>
    </w:p>
    <w:p w14:paraId="2136FC4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lang w:eastAsia="zh-CN"/>
        </w:rPr>
      </w:pPr>
      <w:r>
        <w:rPr>
          <w:rFonts w:ascii="宋体" w:eastAsia="宋体" w:hAnsi="宋体" w:cs="宋体" w:hint="eastAsia"/>
          <w:b w:val="0"/>
          <w:bCs/>
          <w:sz w:val="21"/>
          <w:szCs w:val="21"/>
        </w:rPr>
        <w:t>斜撑桩支撑刚度采用支撑式支挡结构弹性支点刚度系数公式进行校核，计算宽度内的弹性支点刚度系数为</w:t>
      </w:r>
      <w:r>
        <w:rPr>
          <w:rFonts w:ascii="宋体" w:eastAsia="宋体" w:hAnsi="宋体" w:cs="宋体" w:hint="eastAsia"/>
          <w:b w:val="0"/>
          <w:bCs/>
          <w:sz w:val="21"/>
          <w:szCs w:val="21"/>
          <w:lang w:eastAsia="zh-CN"/>
        </w:rPr>
        <w:t>：</w:t>
      </w:r>
    </w:p>
    <w:p w14:paraId="43F5D56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m:oMathPara>
        <m:oMathParaPr>
          <m:jc m:val="center"/>
        </m:oMathParaPr>
        <m:oMath>
          <m:r>
            <w:rPr>
              <w:rFonts w:ascii="Cambria Math" w:eastAsia="宋体" w:hAnsi="Cambria Math" w:cs="宋体" w:hint="eastAsia"/>
              <w:sz w:val="21"/>
              <w:szCs w:val="21"/>
            </w:rPr>
            <m:t>K=</m:t>
          </m:r>
          <m:f>
            <m:fPr>
              <m:ctrlPr>
                <w:rPr>
                  <w:rFonts w:ascii="Cambria Math" w:eastAsia="宋体" w:hAnsi="Cambria Math" w:cs="宋体" w:hint="eastAsia"/>
                  <w:b w:val="0"/>
                  <w:bCs/>
                  <w:sz w:val="21"/>
                  <w:szCs w:val="21"/>
                </w:rPr>
              </m:ctrlPr>
            </m:fPr>
            <m:num>
              <m:ctrlPr>
                <w:rPr>
                  <w:rFonts w:ascii="Cambria Math" w:eastAsia="宋体" w:hAnsi="Cambria Math" w:cs="宋体" w:hint="eastAsia"/>
                  <w:b w:val="0"/>
                  <w:bCs/>
                  <w:sz w:val="21"/>
                  <w:szCs w:val="21"/>
                </w:rPr>
              </m:ctrlP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α</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R</m:t>
                  </m:r>
                </m:sub>
              </m:sSub>
              <m:r>
                <w:rPr>
                  <w:rFonts w:ascii="Cambria Math" w:eastAsia="宋体" w:hAnsi="Cambria Math" w:cs="宋体" w:hint="eastAsia"/>
                  <w:sz w:val="21"/>
                  <w:szCs w:val="21"/>
                </w:rPr>
                <m:t>EA</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b</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a</m:t>
                  </m:r>
                </m:sub>
              </m:sSub>
            </m:num>
            <m:den>
              <m:ctrlPr>
                <w:rPr>
                  <w:rFonts w:ascii="Cambria Math" w:eastAsia="宋体" w:hAnsi="Cambria Math" w:cs="宋体" w:hint="eastAsia"/>
                  <w:b w:val="0"/>
                  <w:bCs/>
                  <w:sz w:val="21"/>
                  <w:szCs w:val="21"/>
                </w:rPr>
              </m:ctrlPr>
              <m:r>
                <w:rPr>
                  <w:rFonts w:ascii="Cambria Math" w:eastAsia="宋体" w:hAnsi="Cambria Math" w:cs="宋体" w:hint="eastAsia"/>
                  <w:sz w:val="21"/>
                  <w:szCs w:val="21"/>
                </w:rPr>
                <m:t>λ</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l</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0</m:t>
                  </m:r>
                </m:sub>
              </m:sSub>
              <m:r>
                <w:rPr>
                  <w:rFonts w:ascii="Cambria Math" w:eastAsia="宋体" w:hAnsi="Cambria Math" w:cs="宋体" w:hint="eastAsia"/>
                  <w:sz w:val="21"/>
                  <w:szCs w:val="21"/>
                </w:rPr>
                <m:t>s</m:t>
              </m:r>
            </m:den>
          </m:f>
          <m:r>
            <w:rPr>
              <w:rFonts w:ascii="Cambria Math" w:eastAsia="宋体" w:hAnsi="Cambria Math" w:cs="宋体" w:hint="eastAsia"/>
              <w:sz w:val="21"/>
              <w:szCs w:val="21"/>
            </w:rPr>
            <m:t>(3)</m:t>
          </m:r>
        </m:oMath>
      </m:oMathPara>
    </w:p>
    <w:p w14:paraId="5934D36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式中λ为支撑不动点调整系数，本实验取λ=1.0，αR为支撑松弛系数，不预加轴向压力的钢支撑取0.8～1.0，E为支撑材料的弹性模量，A为支撑截面面积，l0为受压支撑构件长度，ba为挡土结构计算宽度，s为支撑水平间距。代入参数可得</w:t>
      </w:r>
    </w:p>
    <w:p w14:paraId="6C91FBE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m:oMathPara>
        <m:oMathParaPr>
          <m:jc m:val="center"/>
        </m:oMathParaPr>
        <m:oMath>
          <m:r>
            <w:rPr>
              <w:rFonts w:ascii="Cambria Math" w:eastAsia="宋体" w:hAnsi="Cambria Math" w:cs="宋体" w:hint="eastAsia"/>
              <w:sz w:val="21"/>
              <w:szCs w:val="21"/>
            </w:rPr>
            <m:t>K=</m:t>
          </m:r>
          <m:f>
            <m:fPr>
              <m:ctrlPr>
                <w:rPr>
                  <w:rFonts w:ascii="Cambria Math" w:eastAsia="宋体" w:hAnsi="Cambria Math" w:cs="宋体" w:hint="eastAsia"/>
                  <w:b w:val="0"/>
                  <w:bCs/>
                  <w:sz w:val="21"/>
                  <w:szCs w:val="21"/>
                </w:rPr>
              </m:ctrlPr>
            </m:fPr>
            <m:num>
              <m:ctrlPr>
                <w:rPr>
                  <w:rFonts w:ascii="Cambria Math" w:eastAsia="宋体" w:hAnsi="Cambria Math" w:cs="宋体" w:hint="eastAsia"/>
                  <w:b w:val="0"/>
                  <w:bCs/>
                  <w:sz w:val="21"/>
                  <w:szCs w:val="21"/>
                </w:rPr>
              </m:ctrlPr>
              <m:r>
                <w:rPr>
                  <w:rFonts w:ascii="Cambria Math" w:eastAsia="宋体" w:hAnsi="Cambria Math" w:cs="宋体" w:hint="eastAsia"/>
                  <w:sz w:val="21"/>
                  <w:szCs w:val="21"/>
                </w:rPr>
                <m:t>0.8×2×</m:t>
              </m:r>
              <m:sSup>
                <m:sSupPr>
                  <m:ctrlPr>
                    <w:rPr>
                      <w:rFonts w:ascii="Cambria Math" w:eastAsia="宋体" w:hAnsi="Cambria Math" w:cs="宋体" w:hint="eastAsia"/>
                      <w:b w:val="0"/>
                      <w:bCs/>
                      <w:sz w:val="21"/>
                      <w:szCs w:val="21"/>
                    </w:rPr>
                  </m:ctrlPr>
                </m:sSup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10</m:t>
                  </m:r>
                </m:e>
                <m:sup>
                  <m:ctrlPr>
                    <w:rPr>
                      <w:rFonts w:ascii="Cambria Math" w:eastAsia="宋体" w:hAnsi="Cambria Math" w:cs="宋体" w:hint="eastAsia"/>
                      <w:b w:val="0"/>
                      <w:bCs/>
                      <w:sz w:val="21"/>
                      <w:szCs w:val="21"/>
                    </w:rPr>
                  </m:ctrlPr>
                  <m:r>
                    <w:rPr>
                      <w:rFonts w:ascii="Cambria Math" w:eastAsia="宋体" w:hAnsi="Cambria Math" w:cs="宋体" w:hint="eastAsia"/>
                      <w:sz w:val="21"/>
                      <w:szCs w:val="21"/>
                    </w:rPr>
                    <m:t>8</m:t>
                  </m:r>
                </m:sup>
              </m:sSup>
              <m:r>
                <w:rPr>
                  <w:rFonts w:ascii="Cambria Math" w:eastAsia="宋体" w:hAnsi="Cambria Math" w:cs="宋体" w:hint="eastAsia"/>
                  <w:sz w:val="21"/>
                  <w:szCs w:val="21"/>
                </w:rPr>
                <m:t>×77.2×</m:t>
              </m:r>
              <m:sSup>
                <m:sSupPr>
                  <m:ctrlPr>
                    <w:rPr>
                      <w:rFonts w:ascii="Cambria Math" w:eastAsia="宋体" w:hAnsi="Cambria Math" w:cs="宋体" w:hint="eastAsia"/>
                      <w:b w:val="0"/>
                      <w:bCs/>
                      <w:sz w:val="21"/>
                      <w:szCs w:val="21"/>
                    </w:rPr>
                  </m:ctrlPr>
                </m:sSup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10</m:t>
                  </m:r>
                </m:e>
                <m:sup>
                  <m:ctrlPr>
                    <w:rPr>
                      <w:rFonts w:ascii="Cambria Math" w:eastAsia="宋体" w:hAnsi="Cambria Math" w:cs="宋体" w:hint="eastAsia"/>
                      <w:b w:val="0"/>
                      <w:bCs/>
                      <w:sz w:val="21"/>
                      <w:szCs w:val="21"/>
                    </w:rPr>
                  </m:ctrlPr>
                  <m:r>
                    <w:rPr>
                      <w:rFonts w:ascii="Cambria Math" w:eastAsia="宋体" w:hAnsi="Cambria Math" w:cs="宋体" w:hint="eastAsia"/>
                      <w:sz w:val="21"/>
                      <w:szCs w:val="21"/>
                    </w:rPr>
                    <m:t>−4</m:t>
                  </m:r>
                </m:sup>
              </m:sSup>
              <m:r>
                <w:rPr>
                  <w:rFonts w:ascii="Cambria Math" w:eastAsia="宋体" w:hAnsi="Cambria Math" w:cs="宋体" w:hint="eastAsia"/>
                  <w:sz w:val="21"/>
                  <w:szCs w:val="21"/>
                </w:rPr>
                <m:t>×1.5</m:t>
              </m:r>
            </m:num>
            <m:den>
              <m:ctrlPr>
                <w:rPr>
                  <w:rFonts w:ascii="Cambria Math" w:eastAsia="宋体" w:hAnsi="Cambria Math" w:cs="宋体" w:hint="eastAsia"/>
                  <w:b w:val="0"/>
                  <w:bCs/>
                  <w:sz w:val="21"/>
                  <w:szCs w:val="21"/>
                </w:rPr>
              </m:ctrlPr>
              <m:r>
                <w:rPr>
                  <w:rFonts w:ascii="Cambria Math" w:eastAsia="宋体" w:hAnsi="Cambria Math" w:cs="宋体" w:hint="eastAsia"/>
                  <w:sz w:val="21"/>
                  <w:szCs w:val="21"/>
                </w:rPr>
                <m:t>1.0×8.5×5</m:t>
              </m:r>
            </m:den>
          </m:f>
          <m:r>
            <w:rPr>
              <w:rFonts w:ascii="Cambria Math" w:eastAsia="宋体" w:hAnsi="Cambria Math" w:cs="宋体" w:hint="eastAsia"/>
              <w:sz w:val="21"/>
              <w:szCs w:val="21"/>
            </w:rPr>
            <m:t>=4.36×</m:t>
          </m:r>
          <m:sSup>
            <m:sSupPr>
              <m:ctrlPr>
                <w:rPr>
                  <w:rFonts w:ascii="Cambria Math" w:eastAsia="宋体" w:hAnsi="Cambria Math" w:cs="宋体" w:hint="eastAsia"/>
                  <w:b w:val="0"/>
                  <w:bCs/>
                  <w:sz w:val="21"/>
                  <w:szCs w:val="21"/>
                </w:rPr>
              </m:ctrlPr>
            </m:sSup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10</m:t>
              </m:r>
            </m:e>
            <m:sup>
              <m:ctrlPr>
                <w:rPr>
                  <w:rFonts w:ascii="Cambria Math" w:eastAsia="宋体" w:hAnsi="Cambria Math" w:cs="宋体" w:hint="eastAsia"/>
                  <w:b w:val="0"/>
                  <w:bCs/>
                  <w:sz w:val="21"/>
                  <w:szCs w:val="21"/>
                </w:rPr>
              </m:ctrlPr>
              <m:r>
                <w:rPr>
                  <w:rFonts w:ascii="Cambria Math" w:eastAsia="宋体" w:hAnsi="Cambria Math" w:cs="宋体" w:hint="eastAsia"/>
                  <w:sz w:val="21"/>
                  <w:szCs w:val="21"/>
                </w:rPr>
                <m:t>4</m:t>
              </m:r>
            </m:sup>
          </m:sSup>
          <m:r>
            <w:rPr>
              <w:rFonts w:ascii="Cambria Math" w:eastAsia="宋体" w:hAnsi="Cambria Math" w:cs="宋体" w:hint="eastAsia"/>
              <w:sz w:val="21"/>
              <w:szCs w:val="21"/>
            </w:rPr>
            <m:t>kN/</m:t>
          </m:r>
          <m:sSup>
            <m:sSupPr>
              <m:ctrlPr>
                <w:rPr>
                  <w:rFonts w:ascii="Cambria Math" w:eastAsia="宋体" w:hAnsi="Cambria Math" w:cs="宋体" w:hint="eastAsia"/>
                  <w:b w:val="0"/>
                  <w:bCs/>
                  <w:sz w:val="21"/>
                  <w:szCs w:val="21"/>
                </w:rPr>
              </m:ctrlPr>
            </m:sSup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m</m:t>
              </m:r>
            </m:e>
            <m:sup>
              <m:ctrlPr>
                <w:rPr>
                  <w:rFonts w:ascii="Cambria Math" w:eastAsia="宋体" w:hAnsi="Cambria Math" w:cs="宋体" w:hint="eastAsia"/>
                  <w:b w:val="0"/>
                  <w:bCs/>
                  <w:sz w:val="21"/>
                  <w:szCs w:val="21"/>
                </w:rPr>
              </m:ctrlPr>
              <m:r>
                <w:rPr>
                  <w:rFonts w:ascii="Cambria Math" w:eastAsia="宋体" w:hAnsi="Cambria Math" w:cs="宋体" w:hint="eastAsia"/>
                  <w:sz w:val="21"/>
                  <w:szCs w:val="21"/>
                </w:rPr>
                <m:t>2</m:t>
              </m:r>
            </m:sup>
          </m:sSup>
        </m:oMath>
      </m:oMathPara>
    </w:p>
    <w:p w14:paraId="7CCB72B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校核结果表明，经过复算的支撑刚度可以抑制围护结构水平变形，为之后数值模拟及实测结果一致性打下了基础。</w:t>
      </w:r>
    </w:p>
    <w:p w14:paraId="1D37615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5" w:name="heading_5"/>
      <w:r>
        <w:rPr>
          <w:rFonts w:ascii="宋体" w:eastAsia="宋体" w:hAnsi="宋体" w:cs="宋体" w:hint="eastAsia"/>
          <w:b w:val="0"/>
          <w:bCs/>
          <w:sz w:val="21"/>
          <w:szCs w:val="21"/>
          <w:lang w:val="en-US" w:eastAsia="zh-CN"/>
        </w:rPr>
        <w:t>4</w:t>
      </w:r>
      <w:r>
        <w:rPr>
          <w:rFonts w:ascii="宋体" w:eastAsia="宋体" w:hAnsi="宋体" w:cs="宋体" w:hint="eastAsia"/>
          <w:b w:val="0"/>
          <w:bCs/>
          <w:sz w:val="21"/>
          <w:szCs w:val="21"/>
        </w:rPr>
        <w:t>施工组织与质量控制</w:t>
      </w:r>
      <w:bookmarkEnd w:id="5"/>
    </w:p>
    <w:p w14:paraId="1C302B3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格构斜向支撑桩施工顺序为施工准备、土方开挖、测量定位、反力架施工、滚轮架安装、角度调节托架安装、搅拌推进装置就位、格构柱焊接吊装、拌浆系统就位、启动搅拌反转小钻头、供浆、推进到设计标高、正转扩大钻头、供浆搅拌、回收钻杆直至下一根桩，整个过程是以斜向搅拌推进一体化的工序进行的。由于斜撑桩施工角度大、45°，搅拌土体直径大、1200mm，地下施工影响范围广，桩位定位和倾角控制属于保证斜撑受力方向正确、防止偏位超限的控制要点。</w:t>
      </w:r>
    </w:p>
    <w:p w14:paraId="0553B72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降水主要是由浅部孔隙潜水引起的，坑内用简易深井疏干降水，疏干深度控制在每层开挖面下1.0m以内，井距为15～20m，坑外用简易深井进行降水控制，常规降水深度一般控制在地下水位以下4m左右，局部降板处加深到6m，井距为15～18m，全场共布置深井160口。降水与支护同时进行，使坑内有干燥的施工面，又防止了砂性土由于渗流而造成管涌流砂。坑外水位在挖方和结构施工阶段保持在地面以下大约4m，没有大的变化，说明降水组织以及止水措施是有效的。</w:t>
      </w:r>
    </w:p>
    <w:p w14:paraId="5408D6D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钻孔灌注桩成孔稳定、钢筋笼定位、水下混凝土连续浇筑是钻孔灌注桩质量控制的关键环节，斜向桩主要关注搅拌加固体水泥掺入量、水灰比的稳定性控制，配合焊缝超声检测和螺栓扭矩复核，把节点可靠性的落实到每一项工序上。由于砂土地基对扰动很敏感，所以施工时采取分层分区开挖、随挖随撑的原则，防止挖深过大造成侧向变形，保证围护受力在稳定的范围内。</w:t>
      </w:r>
    </w:p>
    <w:p w14:paraId="4B9221D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6" w:name="heading_6"/>
      <w:r>
        <w:rPr>
          <w:rFonts w:ascii="宋体" w:eastAsia="宋体" w:hAnsi="宋体" w:cs="宋体" w:hint="eastAsia"/>
          <w:b w:val="0"/>
          <w:bCs/>
          <w:sz w:val="21"/>
          <w:szCs w:val="21"/>
          <w:lang w:val="en-US" w:eastAsia="zh-CN"/>
        </w:rPr>
        <w:t>5</w:t>
      </w:r>
      <w:r>
        <w:rPr>
          <w:rFonts w:ascii="宋体" w:eastAsia="宋体" w:hAnsi="宋体" w:cs="宋体" w:hint="eastAsia"/>
          <w:b w:val="0"/>
          <w:bCs/>
          <w:sz w:val="21"/>
          <w:szCs w:val="21"/>
        </w:rPr>
        <w:t>支护效果的监测反馈与数值验证</w:t>
      </w:r>
      <w:bookmarkEnd w:id="6"/>
    </w:p>
    <w:p w14:paraId="2DBD339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为了检验斜向支撑桩在砂土地基中的实际支撑作用，在工程中还进行了现场监测和数值模拟的比较。在斜支撑桩侧布置测斜孔CX12做土体位移的连续观测，测得累计位移为16.09mm，远远小于报警值50mm，基坑开挖及地下室结构施工期间累计位移、位移速率一直小于报警值，没有产生报警情况。</w:t>
      </w:r>
    </w:p>
    <w:p w14:paraId="4797D5B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数值模拟用Plaxis岩土有限元软件建立二维小应变硬化模型（HSS），模拟土体本构，因为开挖区域以砂土为主，所以计算时采用排水条件，基坑围护体最大变形为16.8mm，坑底隆起量为28.7mm。把启明星剖面的计算结果、Plaxis数值模拟和现场实测结果一起列出来，启明星初算得出的位移偏大，刚度复算后结果和数值模拟结果一致、深层土体实测变形数值也相同，说明斜向支撑桩刚度取值是合理的，支护方案是可行的。表2给出所有的计算结果和观测值对比。</w:t>
      </w:r>
    </w:p>
    <w:p w14:paraId="7C2E90B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表2设计计算、数值模拟与现场监测结果对照</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2820"/>
        <w:gridCol w:w="1515"/>
        <w:gridCol w:w="3945"/>
      </w:tblGrid>
      <w:tr w14:paraId="1EBB508E">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Ex>
        <w:tc>
          <w:tcPr>
            <w:tcW w:w="2820" w:type="dxa"/>
            <w:tcMar>
              <w:top w:w="60" w:type="dxa"/>
              <w:left w:w="120" w:type="dxa"/>
              <w:bottom w:w="30" w:type="dxa"/>
              <w:right w:w="120" w:type="dxa"/>
            </w:tcMar>
            <w:vAlign w:val="center"/>
          </w:tcPr>
          <w:p w14:paraId="4CC23C5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项目</w:t>
            </w:r>
          </w:p>
        </w:tc>
        <w:tc>
          <w:tcPr>
            <w:tcW w:w="1515" w:type="dxa"/>
            <w:tcMar>
              <w:top w:w="60" w:type="dxa"/>
              <w:left w:w="120" w:type="dxa"/>
              <w:bottom w:w="30" w:type="dxa"/>
              <w:right w:w="120" w:type="dxa"/>
            </w:tcMar>
            <w:vAlign w:val="center"/>
          </w:tcPr>
          <w:p w14:paraId="1498693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数值</w:t>
            </w:r>
          </w:p>
        </w:tc>
        <w:tc>
          <w:tcPr>
            <w:tcW w:w="3945" w:type="dxa"/>
            <w:tcMar>
              <w:top w:w="60" w:type="dxa"/>
              <w:left w:w="120" w:type="dxa"/>
              <w:bottom w:w="30" w:type="dxa"/>
              <w:right w:w="120" w:type="dxa"/>
            </w:tcMar>
            <w:vAlign w:val="center"/>
          </w:tcPr>
          <w:p w14:paraId="7132F45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说明</w:t>
            </w:r>
          </w:p>
        </w:tc>
      </w:tr>
      <w:tr w14:paraId="4B802ADB">
        <w:tblPrEx>
          <w:tblW w:w="0" w:type="auto"/>
          <w:tblInd w:w="0" w:type="dxa"/>
          <w:tblLayout w:type="fixed"/>
          <w:tblCellMar>
            <w:top w:w="0" w:type="dxa"/>
            <w:left w:w="10" w:type="dxa"/>
            <w:bottom w:w="0" w:type="dxa"/>
            <w:right w:w="10" w:type="dxa"/>
          </w:tblCellMar>
        </w:tblPrEx>
        <w:tc>
          <w:tcPr>
            <w:tcW w:w="2820" w:type="dxa"/>
            <w:tcMar>
              <w:top w:w="60" w:type="dxa"/>
              <w:left w:w="120" w:type="dxa"/>
              <w:bottom w:w="30" w:type="dxa"/>
              <w:right w:w="120" w:type="dxa"/>
            </w:tcMar>
            <w:vAlign w:val="center"/>
          </w:tcPr>
          <w:p w14:paraId="188D6AC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启明星初算前排桩最大水平位移</w:t>
            </w:r>
          </w:p>
        </w:tc>
        <w:tc>
          <w:tcPr>
            <w:tcW w:w="1515" w:type="dxa"/>
            <w:tcMar>
              <w:top w:w="60" w:type="dxa"/>
              <w:left w:w="120" w:type="dxa"/>
              <w:bottom w:w="30" w:type="dxa"/>
              <w:right w:w="120" w:type="dxa"/>
            </w:tcMar>
            <w:vAlign w:val="center"/>
          </w:tcPr>
          <w:p w14:paraId="4B862B2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38.0mm</w:t>
            </w:r>
          </w:p>
        </w:tc>
        <w:tc>
          <w:tcPr>
            <w:tcW w:w="3945" w:type="dxa"/>
            <w:tcMar>
              <w:top w:w="60" w:type="dxa"/>
              <w:left w:w="120" w:type="dxa"/>
              <w:bottom w:w="30" w:type="dxa"/>
              <w:right w:w="120" w:type="dxa"/>
            </w:tcMar>
            <w:vAlign w:val="center"/>
          </w:tcPr>
          <w:p w14:paraId="19B6603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刚度按2.443MN/m²取值</w:t>
            </w:r>
          </w:p>
        </w:tc>
      </w:tr>
      <w:tr w14:paraId="37A5BFD6">
        <w:tblPrEx>
          <w:tblW w:w="0" w:type="auto"/>
          <w:tblInd w:w="0" w:type="dxa"/>
          <w:tblLayout w:type="fixed"/>
          <w:tblCellMar>
            <w:top w:w="0" w:type="dxa"/>
            <w:left w:w="10" w:type="dxa"/>
            <w:bottom w:w="0" w:type="dxa"/>
            <w:right w:w="10" w:type="dxa"/>
          </w:tblCellMar>
        </w:tblPrEx>
        <w:tc>
          <w:tcPr>
            <w:tcW w:w="2820" w:type="dxa"/>
            <w:tcMar>
              <w:top w:w="60" w:type="dxa"/>
              <w:left w:w="120" w:type="dxa"/>
              <w:bottom w:w="30" w:type="dxa"/>
              <w:right w:w="120" w:type="dxa"/>
            </w:tcMar>
            <w:vAlign w:val="center"/>
          </w:tcPr>
          <w:p w14:paraId="1735530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启明星复算前排桩最大水平位移</w:t>
            </w:r>
          </w:p>
        </w:tc>
        <w:tc>
          <w:tcPr>
            <w:tcW w:w="1515" w:type="dxa"/>
            <w:tcMar>
              <w:top w:w="60" w:type="dxa"/>
              <w:left w:w="120" w:type="dxa"/>
              <w:bottom w:w="30" w:type="dxa"/>
              <w:right w:w="120" w:type="dxa"/>
            </w:tcMar>
            <w:vAlign w:val="center"/>
          </w:tcPr>
          <w:p w14:paraId="475E4EC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18.4mm</w:t>
            </w:r>
          </w:p>
        </w:tc>
        <w:tc>
          <w:tcPr>
            <w:tcW w:w="3945" w:type="dxa"/>
            <w:tcMar>
              <w:top w:w="60" w:type="dxa"/>
              <w:left w:w="120" w:type="dxa"/>
              <w:bottom w:w="30" w:type="dxa"/>
              <w:right w:w="120" w:type="dxa"/>
            </w:tcMar>
            <w:vAlign w:val="center"/>
          </w:tcPr>
          <w:p w14:paraId="5746621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按弹性支点刚度4.36×10⁴kN/m²复算</w:t>
            </w:r>
          </w:p>
        </w:tc>
      </w:tr>
      <w:tr w14:paraId="26237BCD">
        <w:tblPrEx>
          <w:tblW w:w="0" w:type="auto"/>
          <w:tblInd w:w="0" w:type="dxa"/>
          <w:tblLayout w:type="fixed"/>
          <w:tblCellMar>
            <w:top w:w="0" w:type="dxa"/>
            <w:left w:w="10" w:type="dxa"/>
            <w:bottom w:w="0" w:type="dxa"/>
            <w:right w:w="10" w:type="dxa"/>
          </w:tblCellMar>
        </w:tblPrEx>
        <w:tc>
          <w:tcPr>
            <w:tcW w:w="2820" w:type="dxa"/>
            <w:tcMar>
              <w:top w:w="60" w:type="dxa"/>
              <w:left w:w="120" w:type="dxa"/>
              <w:bottom w:w="30" w:type="dxa"/>
              <w:right w:w="120" w:type="dxa"/>
            </w:tcMar>
            <w:vAlign w:val="center"/>
          </w:tcPr>
          <w:p w14:paraId="5B4630A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Plaxis围护体最大变形</w:t>
            </w:r>
          </w:p>
        </w:tc>
        <w:tc>
          <w:tcPr>
            <w:tcW w:w="1515" w:type="dxa"/>
            <w:tcMar>
              <w:top w:w="60" w:type="dxa"/>
              <w:left w:w="120" w:type="dxa"/>
              <w:bottom w:w="30" w:type="dxa"/>
              <w:right w:w="120" w:type="dxa"/>
            </w:tcMar>
            <w:vAlign w:val="center"/>
          </w:tcPr>
          <w:p w14:paraId="69CF410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16.8mm</w:t>
            </w:r>
          </w:p>
        </w:tc>
        <w:tc>
          <w:tcPr>
            <w:tcW w:w="3945" w:type="dxa"/>
            <w:tcMar>
              <w:top w:w="60" w:type="dxa"/>
              <w:left w:w="120" w:type="dxa"/>
              <w:bottom w:w="30" w:type="dxa"/>
              <w:right w:w="120" w:type="dxa"/>
            </w:tcMar>
            <w:vAlign w:val="center"/>
          </w:tcPr>
          <w:p w14:paraId="26ADEB2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二维HSS模型，排水条件</w:t>
            </w:r>
          </w:p>
        </w:tc>
      </w:tr>
      <w:tr w14:paraId="235D3CEE">
        <w:tblPrEx>
          <w:tblW w:w="0" w:type="auto"/>
          <w:tblInd w:w="0" w:type="dxa"/>
          <w:tblLayout w:type="fixed"/>
          <w:tblCellMar>
            <w:top w:w="0" w:type="dxa"/>
            <w:left w:w="10" w:type="dxa"/>
            <w:bottom w:w="0" w:type="dxa"/>
            <w:right w:w="10" w:type="dxa"/>
          </w:tblCellMar>
        </w:tblPrEx>
        <w:tc>
          <w:tcPr>
            <w:tcW w:w="2820" w:type="dxa"/>
            <w:tcMar>
              <w:top w:w="60" w:type="dxa"/>
              <w:left w:w="120" w:type="dxa"/>
              <w:bottom w:w="30" w:type="dxa"/>
              <w:right w:w="120" w:type="dxa"/>
            </w:tcMar>
            <w:vAlign w:val="center"/>
          </w:tcPr>
          <w:p w14:paraId="69A1C29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Plaxis坑底隆起量</w:t>
            </w:r>
          </w:p>
        </w:tc>
        <w:tc>
          <w:tcPr>
            <w:tcW w:w="1515" w:type="dxa"/>
            <w:tcMar>
              <w:top w:w="60" w:type="dxa"/>
              <w:left w:w="120" w:type="dxa"/>
              <w:bottom w:w="30" w:type="dxa"/>
              <w:right w:w="120" w:type="dxa"/>
            </w:tcMar>
            <w:vAlign w:val="center"/>
          </w:tcPr>
          <w:p w14:paraId="17A7923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28.7mm</w:t>
            </w:r>
          </w:p>
        </w:tc>
        <w:tc>
          <w:tcPr>
            <w:tcW w:w="3945" w:type="dxa"/>
            <w:tcMar>
              <w:top w:w="60" w:type="dxa"/>
              <w:left w:w="120" w:type="dxa"/>
              <w:bottom w:w="30" w:type="dxa"/>
              <w:right w:w="120" w:type="dxa"/>
            </w:tcMar>
            <w:vAlign w:val="center"/>
          </w:tcPr>
          <w:p w14:paraId="0458C84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同上</w:t>
            </w:r>
          </w:p>
        </w:tc>
      </w:tr>
      <w:tr w14:paraId="6478BC49">
        <w:tblPrEx>
          <w:tblW w:w="0" w:type="auto"/>
          <w:tblInd w:w="0" w:type="dxa"/>
          <w:tblLayout w:type="fixed"/>
          <w:tblCellMar>
            <w:top w:w="0" w:type="dxa"/>
            <w:left w:w="10" w:type="dxa"/>
            <w:bottom w:w="0" w:type="dxa"/>
            <w:right w:w="10" w:type="dxa"/>
          </w:tblCellMar>
        </w:tblPrEx>
        <w:tc>
          <w:tcPr>
            <w:tcW w:w="2820" w:type="dxa"/>
            <w:tcMar>
              <w:top w:w="60" w:type="dxa"/>
              <w:left w:w="120" w:type="dxa"/>
              <w:bottom w:w="30" w:type="dxa"/>
              <w:right w:w="120" w:type="dxa"/>
            </w:tcMar>
            <w:vAlign w:val="center"/>
          </w:tcPr>
          <w:p w14:paraId="1F08154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现场深层土体累计位移（CX12）</w:t>
            </w:r>
          </w:p>
        </w:tc>
        <w:tc>
          <w:tcPr>
            <w:tcW w:w="1515" w:type="dxa"/>
            <w:tcMar>
              <w:top w:w="60" w:type="dxa"/>
              <w:left w:w="120" w:type="dxa"/>
              <w:bottom w:w="30" w:type="dxa"/>
              <w:right w:w="120" w:type="dxa"/>
            </w:tcMar>
            <w:vAlign w:val="center"/>
          </w:tcPr>
          <w:p w14:paraId="386342B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16.09mm</w:t>
            </w:r>
          </w:p>
        </w:tc>
        <w:tc>
          <w:tcPr>
            <w:tcW w:w="3945" w:type="dxa"/>
            <w:tcMar>
              <w:top w:w="60" w:type="dxa"/>
              <w:left w:w="120" w:type="dxa"/>
              <w:bottom w:w="30" w:type="dxa"/>
              <w:right w:w="120" w:type="dxa"/>
            </w:tcMar>
            <w:vAlign w:val="center"/>
          </w:tcPr>
          <w:p w14:paraId="37C5C91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报警值50mm</w:t>
            </w:r>
          </w:p>
        </w:tc>
      </w:tr>
    </w:tbl>
    <w:p w14:paraId="3C86430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根据表2数据可知，数值模拟与刚度复算结果和现场实测数据有较好的一致性，围护变形均在报警线内，斜向支撑桩对砂土地基基坑有较好的支撑作用。以监测反馈反哺设计参数校核的方式实施闭环管理，与智能建造提倡的数据驱动的思想不谋而合，而且可以为同类型工程提供数值标定方面的可迁移的经验。</w:t>
      </w:r>
    </w:p>
    <w:p w14:paraId="624928A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7" w:name="heading_7"/>
      <w:r>
        <w:rPr>
          <w:rFonts w:ascii="宋体" w:eastAsia="宋体" w:hAnsi="宋体" w:cs="宋体" w:hint="eastAsia"/>
          <w:b w:val="0"/>
          <w:bCs/>
          <w:sz w:val="21"/>
          <w:szCs w:val="21"/>
        </w:rPr>
        <w:t>结论</w:t>
      </w:r>
      <w:bookmarkEnd w:id="7"/>
      <w:r>
        <w:rPr>
          <w:rFonts w:ascii="宋体" w:eastAsia="宋体" w:hAnsi="宋体" w:cs="宋体" w:hint="eastAsia"/>
          <w:b w:val="0"/>
          <w:bCs/>
          <w:sz w:val="21"/>
          <w:szCs w:val="21"/>
          <w:lang w:eastAsia="zh-CN"/>
        </w:rPr>
        <w:t>：</w:t>
      </w:r>
      <w:r>
        <w:rPr>
          <w:rFonts w:ascii="宋体" w:eastAsia="宋体" w:hAnsi="宋体" w:cs="宋体" w:hint="eastAsia"/>
          <w:b w:val="0"/>
          <w:bCs/>
          <w:sz w:val="21"/>
          <w:szCs w:val="21"/>
        </w:rPr>
        <w:t>工程实践证明，钢格构斜向支撑桩是排桩体系的一种不同的支撑形式，在砂土地基大面积基坑中安全可靠、节材高效。支撑构件由坑内水平杆系变为斜向打入的承重桩，增大了坑内作业空间，土方全部敞开挖，省去水平支撑二次拆除和盆边土方二次开挖，缩短工期，节省钢筋混凝土。从数值模拟和现场监测两方面数据互证的结果中可知围护变形可以被控制在一定的范围内，支护效果达到设计要求。该案例的意义在于，给用地受限、局部加深、地层敏感的基坑工程提供一种新的选择思路，对于同样场地的支护设计及绿色施工组织提供了一些可以借鉴的经验。随着智能监测和数值模拟技术的发展，基坑支护也会从依靠经验来选型的阶段，逐步发展成为依靠数据来进行选型的阶段，支护方案的选型以及参数校核也会越来越精确、高效。</w:t>
      </w:r>
    </w:p>
    <w:p w14:paraId="73DB7D56">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ascii="宋体" w:eastAsia="宋体" w:hAnsi="宋体" w:cs="宋体" w:hint="eastAsia"/>
          <w:b w:val="0"/>
          <w:bCs/>
          <w:sz w:val="21"/>
          <w:szCs w:val="21"/>
        </w:rPr>
      </w:pPr>
      <w:bookmarkStart w:id="8" w:name="_GoBack"/>
      <w:bookmarkEnd w:id="8"/>
    </w:p>
    <w:sectPr>
      <w:headerReference w:type="default" r:id="rId4"/>
      <w:footerReference w:type="default" r:id="rId5"/>
      <w:pgSz w:w="11905" w:h="16840"/>
      <w:pgMar w:header="708" w:footer="708"/>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9C94791"/>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292AAD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splitPgBreakAndParaMark/>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E401996"/>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sz w:val="21"/>
      <w:szCs w:val="2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4</TotalTime>
  <Pages>5</Pages>
  <Words>1002</Words>
  <Characters>1032</Characters>
  <Application>Microsoft Office Word</Application>
  <DocSecurity>0</DocSecurity>
  <Lines>0</Lines>
  <Paragraphs>0</Paragraphs>
  <ScaleCrop>false</ScaleCrop>
  <Company/>
  <LinksUpToDate>false</LinksUpToDate>
  <CharactersWithSpaces>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初展</cp:lastModifiedBy>
  <cp:revision>0</cp:revision>
  <dcterms:created xsi:type="dcterms:W3CDTF">2026-11-04T08:34:00Z</dcterms:created>
  <dcterms:modified xsi:type="dcterms:W3CDTF">2026-11-04T08:38:18Z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C0153CA3E0DE4976AFE6E6925040BF9F_12</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