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6E4A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关于林草种苗在生态修复与植被恢复中的应用研究</w:t>
      </w:r>
    </w:p>
    <w:p w14:paraId="1E095E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本文从国土生态修复工程的实际出发，阐述林草种苗同生态修复、植被恢复的内在联系，分析目前工程实施中种苗选择繁育、配置应用、质量管控、后期协同配套等方面的不足，直面重栽植轻适配、良种供应不足、群落构建简单化的工程问题。根据不同立地修复项目，从种质发掘、种苗供应、群落布置、全过程监管这四个方面提出有操作性的针对性策略，探寻适合困难立地林草种苗运用的道路，给国土绿化质量提升、生态修复成果巩固提供操作经验。</w:t>
      </w:r>
    </w:p>
    <w:p w14:paraId="2A4EE6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关键词：林草种苗；生态修复；植被恢复；困难立地；乡土种质</w:t>
      </w:r>
    </w:p>
    <w:p w14:paraId="3B65EF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Research on the application of forest and grass seedlings</w:t>
      </w:r>
    </w:p>
    <w:p w14:paraId="61AA5D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 xml:space="preserve"> </w:t>
      </w:r>
      <w:r>
        <w:rPr>
          <w:rFonts w:hint="eastAsia"/>
          <w:b/>
          <w:bCs/>
        </w:rPr>
        <w:t>Ecological Restoration and Vegetation Recovery</w:t>
      </w:r>
    </w:p>
    <w:p w14:paraId="40E55C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lang w:val="en-US" w:eastAsia="zh-CN"/>
        </w:rPr>
      </w:pPr>
      <w:r>
        <w:rPr>
          <w:rFonts w:hint="eastAsia"/>
          <w:lang w:val="en-US" w:eastAsia="zh-CN"/>
        </w:rPr>
        <w:t>Nongyue Guang</w:t>
      </w:r>
    </w:p>
    <w:p w14:paraId="766FE7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lang w:val="en-US" w:eastAsia="zh-CN"/>
        </w:rPr>
      </w:pPr>
      <w:r>
        <w:rPr>
          <w:rFonts w:hint="eastAsia"/>
          <w:lang w:val="en-US" w:eastAsia="zh-CN"/>
        </w:rPr>
        <w:t>Forestry and Grassland Bureau of Funing County,</w:t>
      </w:r>
    </w:p>
    <w:p w14:paraId="520524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lang w:val="en-US" w:eastAsia="zh-CN"/>
        </w:rPr>
      </w:pPr>
      <w:r>
        <w:rPr>
          <w:rFonts w:hint="eastAsia"/>
          <w:lang w:val="en-US" w:eastAsia="zh-CN"/>
        </w:rPr>
        <w:t>Yunnan Province; Funing County, Yunnan Province 663400</w:t>
      </w:r>
    </w:p>
    <w:p w14:paraId="215D1E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Abstract:</w:t>
      </w:r>
      <w:r>
        <w:rPr>
          <w:rFonts w:hint="eastAsia"/>
        </w:rPr>
        <w:t>Based on the practice of territorial ecological restoration projects, this paper clarifies the basic logic of forest and grass seedling cooperation in ecological restoration, as well as vegetation recovery. Determine the present practical deficiencies in seedling selection and breeding, allocation and application, quality control, and post-implementation coordination and support during the implementation of this project. There are also engineering problems in the field, such as giving too much weight to replanting and not adapting, a lack of good varieties, and simple community construction. Based on the above cases of site restoration, this paper puts forward the following four types of particular practical strategies: germplasm mining, seedling supply, community allocation and whole-chain supervision. Research has been carried out on the application path of forest and grass seedlings in areas with adaptation difficulties to improve the quality of territorial greening and build upon the achievements of ecological restoration.</w:t>
      </w:r>
    </w:p>
    <w:p w14:paraId="295D91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Keywords: forest and grass seedlings; ecological restoration; vegetation restoration; difficult sites; native germplasm</w:t>
      </w:r>
    </w:p>
    <w:p w14:paraId="0D5314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FC648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生态修复已经从只重视绿化覆盖率向建立稳定、可持续的近自然植被系统转变，林草种苗是植被恢复的物质载体，也是植被恢复的基础。部分项目只重视快速绿化，不考虑当地的环境和立地条件以及种苗特性，造成保存率低、群落退化的问题。矿山排土场、干旱沙区、石漠化地区立地情况千差万别，普通的造林很难有长久的生命。剖析种苗应用中出现的现实矛盾，探究科学落地之路，对国土绿化质量的提高以及修复成果的巩固有着非常重要的意义。</w:t>
      </w:r>
    </w:p>
    <w:p w14:paraId="154AA8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1</w:t>
      </w:r>
      <w:r>
        <w:rPr>
          <w:rFonts w:hint="eastAsia"/>
        </w:rPr>
        <w:t>林草种苗与生态修复、植被恢复的内在关联</w:t>
      </w:r>
    </w:p>
    <w:p w14:paraId="2DAE09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1.1种苗种质属性决定植被恢复的基础潜力</w:t>
      </w:r>
    </w:p>
    <w:p w14:paraId="4AEE36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植被的恢复实际上就是依靠植物个体的生长来逐步重建群落，种苗自身抗逆性状是退化立地植被建植的前提。退化区域土壤贫瘠、盐分高、缺水，只有种质特性同环境胁迫相匹配的林草种苗才可以完成定植存活这一关键步骤。乡土林草种质在长时间的自然演化过程中，对区域降水的节律、土壤理化性质有很好的适应性，比外来引进的物种具有更强的抗病虫害和抗极端气候综合能力。在科尔沁沙地修复工程中，小叶锦鸡儿、沙蒿等本土灌木种苗能扎根在沙性贫瘠的土壤里固土，而一些引进的速生树种短时间内生长茂盛，连续两年以上的干旱期就会造成大面积死亡，不能保证植被的长久覆盖</w:t>
      </w:r>
      <w:r>
        <w:rPr>
          <w:rFonts w:hint="eastAsia"/>
          <w:vertAlign w:val="superscript"/>
        </w:rPr>
        <w:t>[1]</w:t>
      </w:r>
      <w:r>
        <w:rPr>
          <w:rFonts w:hint="eastAsia"/>
        </w:rPr>
        <w:t>。种苗根系发育情况也会对修复产生影响，深根性灌木种苗可深入浅层干沙层中吸收地下水，改良深层土壤结构，须根多的草本种苗可迅速覆盖地面，减少坡面水土流失。种苗种质所具有的固土、改土、保水能力，直接决定植被恢复能达到的上限，种质匹配的忽略会使任何工程措施都很难达到稳定修复的效果。</w:t>
      </w:r>
    </w:p>
    <w:p w14:paraId="73C3FA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1.2苗木质量直接影响生态修复工程落地成效</w:t>
      </w:r>
    </w:p>
    <w:p w14:paraId="0ED7A0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同种苗木的苗木分级质量对定植后苗木生长情况存在较大差异，特别是困难立地。不同育苗方式培养的容器苗、裸根苗和轻基质苗根系完整度、抗逆性差别很大。苗木质量影响苗圃的培育、起苗、运输、栽植全过程，苗木质量控制不好，再好的整地、灌溉配套设施也很难达到植被恢复的效果。</w:t>
      </w:r>
    </w:p>
    <w:p w14:paraId="6CABFE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2</w:t>
      </w:r>
      <w:r>
        <w:rPr>
          <w:rFonts w:hint="eastAsia"/>
        </w:rPr>
        <w:t>林草种苗应用于生态修复的现实困境</w:t>
      </w:r>
    </w:p>
    <w:p w14:paraId="0B6F34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2.1种质资源挖掘利用不足，乡土良种供给存在结构性缺口</w:t>
      </w:r>
    </w:p>
    <w:p w14:paraId="5F1C6E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国乡土林草种质资源非常丰富，但是具有修复潜力的本土物种大部分处在资源调查阶段，没有形成成熟的规模化繁育技术，不能满足工程的需要。很多区域开展生态修复的时候，可以提供的商业化种苗种类非常少，苗圃生产主要集中于少数几种常见的造林树种上，许多抗逆性强的乡土灌木、草本种质没有实现产业化育苗，造成退化土地植被恢复方案的选择受限</w:t>
      </w:r>
      <w:r>
        <w:rPr>
          <w:rFonts w:hint="eastAsia"/>
          <w:vertAlign w:val="superscript"/>
        </w:rPr>
        <w:t>[</w:t>
      </w:r>
      <w:r>
        <w:rPr>
          <w:rFonts w:hint="eastAsia"/>
          <w:vertAlign w:val="superscript"/>
          <w:lang w:val="en-US" w:eastAsia="zh-CN"/>
        </w:rPr>
        <w:t>2</w:t>
      </w:r>
      <w:r>
        <w:rPr>
          <w:rFonts w:hint="eastAsia"/>
          <w:vertAlign w:val="superscript"/>
        </w:rPr>
        <w:t>]</w:t>
      </w:r>
      <w:r>
        <w:rPr>
          <w:rFonts w:hint="eastAsia"/>
        </w:rPr>
        <w:t>。</w:t>
      </w:r>
    </w:p>
    <w:p w14:paraId="1BB215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2.2种苗筛选脱离立地实际，物种配置存在简单化倾向</w:t>
      </w:r>
    </w:p>
    <w:p w14:paraId="4BB874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部分生态修复项目作业设计阶段没有做地块立地调查来确定苗木选择，出现种苗与地块条件不相宜的情况。干旱半干旱沙区部分项目盲目种水耗高乔木苗，超过区域水资源承载上限，初期依靠人工灌溉来维持存活，后期由于灌溉量的减少而造成大面积死亡。石质山地土层薄，栽种大规格乔木苗，土壤中缺少苗木生长所需要的水分和养分，植株的生长一直处在衰弱状态之中。部分工程的物种配置仍沿用单一物种大范围造林的方式，大量营造纯林，乔灌草搭配失衡，缺少先锋物种、过渡物种、顶级物种的梯度设计。部分边坡修复只用草本种子喷播，缺少灌木苗搭配，草本不能形成长势良好的植被群落，遇干旱就大面积死亡。设计人员对于种苗的生物学特性缺乏足够的了解，对配置方案的借鉴是照搬其它地区的成功案例，没有根据当地土壤、降水特点做本土化的调整，修复效果不稳定。</w:t>
      </w:r>
    </w:p>
    <w:p w14:paraId="076913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3</w:t>
      </w:r>
      <w:r>
        <w:rPr>
          <w:rFonts w:hint="eastAsia"/>
        </w:rPr>
        <w:t>提升林草种苗生态修复应用效能的实践路径</w:t>
      </w:r>
    </w:p>
    <w:p w14:paraId="2C15B5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3.1深挖本土抗逆种质潜能，构建分级评价与定向繁育体系</w:t>
      </w:r>
    </w:p>
    <w:p w14:paraId="42FE85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据各个退化的立地情况，对乡土林草种质资源进行系统鉴定筛选，把资源优势转变为种苗供应能力。根据石漠化、沙化、矿山废弃地等不同的退化类型选取一些耐贫瘠、耐盐碱、抗风沙的灌木、草本乡土植物，建立以生态修复为导向的种质评价指标体系，不能只看植株生长情况，主要测定种质抗旱、固土、土壤改良等修复功能指标，确定各种质适合的地块。依托国有保障性苗圃创建乡土修复种苗专项繁育圃，解决一些本土物种种子难发芽、扦插成活率低的问题，采用组培、轻基质容器育苗的方式定向培育适于困难立地的健壮种苗，不追求苗木规格，优先保证苗木根系完整、苗木木质化达到合格标准</w:t>
      </w:r>
      <w:r>
        <w:rPr>
          <w:rFonts w:hint="eastAsia"/>
          <w:vertAlign w:val="superscript"/>
        </w:rPr>
        <w:t>[</w:t>
      </w:r>
      <w:r>
        <w:rPr>
          <w:rFonts w:hint="eastAsia"/>
          <w:vertAlign w:val="superscript"/>
          <w:lang w:val="en-US" w:eastAsia="zh-CN"/>
        </w:rPr>
        <w:t>4</w:t>
      </w:r>
      <w:r>
        <w:rPr>
          <w:rFonts w:hint="eastAsia"/>
          <w:vertAlign w:val="superscript"/>
        </w:rPr>
        <w:t>]</w:t>
      </w:r>
      <w:r>
        <w:rPr>
          <w:rFonts w:hint="eastAsia"/>
        </w:rPr>
        <w:t>。实行种质资源库、科研机构、苗圃三者合作制，科研单位进行种质性状测定，苗圃开展规模化扩繁工作，创建修复种苗良种登记制度，对经过野外验证优良的乡土林草品种加以推广认定，逐渐改变工程种苗选择仅依赖少数外来树种的状况。</w:t>
      </w:r>
    </w:p>
    <w:p w14:paraId="357896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3.2锚定立地本底条件，推行梯度化近自然群落种苗配置模式</w:t>
      </w:r>
    </w:p>
    <w:p w14:paraId="2EFA82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对修复地块进行精确的立地调查，把土壤的厚度、土壤的盐分含量、年降水量、坡面侵蚀强度作为种苗选型的第一依据，落实适地适苗，杜绝照搬外地方案。根据地块退化的程度建立先锋、过渡、顶级物种梯度配置思路，不能只采用乔灌草混合种植的方式。对排土场这种非常贫瘠的矿山排土场，先栽种速生草本和耐旱灌木先锋种，利用先锋植物改良土壤微环境，两年后补植慢生乔木种苗，干旱沙区严格控制乔木种苗的使用量，以灌木、草本种苗为主，防止乔木造林超过水资源的承载能力。岩溶石漠化薄层土壤区应选择浅根系的灌木、草本种苗，防止大规格乔木的种植。对边坡、消落带等特殊场合加以细化，制定出种苗搭配计划，使地表覆盖和固土能力得到兼顾，同时保证短期定植和长期群落自然更新的能力。作业设计阶段增加种苗物种生物学特性论证的环节，积极听取基层技术人员的意见，保证所选种苗的配置方案与地块实际情况相适应</w:t>
      </w:r>
      <w:r>
        <w:rPr>
          <w:rFonts w:hint="eastAsia"/>
          <w:vertAlign w:val="superscript"/>
        </w:rPr>
        <w:t>[</w:t>
      </w:r>
      <w:r>
        <w:rPr>
          <w:rFonts w:hint="eastAsia"/>
          <w:vertAlign w:val="superscript"/>
          <w:lang w:val="en-US" w:eastAsia="zh-CN"/>
        </w:rPr>
        <w:t>5</w:t>
      </w:r>
      <w:r>
        <w:rPr>
          <w:rFonts w:hint="eastAsia"/>
          <w:vertAlign w:val="superscript"/>
        </w:rPr>
        <w:t>]</w:t>
      </w:r>
      <w:r>
        <w:rPr>
          <w:rFonts w:hint="eastAsia"/>
        </w:rPr>
        <w:t>。</w:t>
      </w:r>
    </w:p>
    <w:p w14:paraId="77DC25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bookmarkStart w:id="0" w:name="_GoBack"/>
      <w:bookmarkEnd w:id="0"/>
      <w:r>
        <w:rPr>
          <w:rFonts w:hint="eastAsia"/>
        </w:rPr>
        <w:t>3.4贯通育栽管全链条保障，建立种苗—工程—管护协同机制</w:t>
      </w:r>
    </w:p>
    <w:p w14:paraId="6885AF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改变以栽植施工为主的项目资金分配模式，在项目预算中留足后期抚育管护的费用，保证种苗定植后的缓苗期养护。根据种苗的生物学特性来配套工程措施，沙区栽植种苗同时在沙障、集雨整地设施上进行设置，减轻风沙、干旱给幼苗造成的胁迫；根据矿山修复地块土壤情况适量改良基质，给幼苗生长提供基本条件，使生物措施和工程措施同时进行设计、施工。创建示范点技术输出体系，将科研基地经过验证的种苗搭配、抚育管理方案整理成简易实用的操作手册，送至基层施工单位推广使用。落实修复地块长期动态监测，对种苗定植后三年内存活情况做跟踪记录，并且对不同的种苗在本区域的生长情况进行记录，不断改进后续项目种苗选择及配置方案。提倡本地经营主体参与到后期养护工作中去，将种苗成活保存情况作为项目验收的主要指标之一，不能以栽植结束作为项目终止的标志，以稳定植被群落构建作为最终考核的标准，充分发挥林草种苗生态修复的功能。</w:t>
      </w:r>
    </w:p>
    <w:p w14:paraId="2D823E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结语</w:t>
      </w:r>
      <w:r>
        <w:rPr>
          <w:rFonts w:hint="eastAsia"/>
          <w:lang w:eastAsia="zh-CN"/>
        </w:rPr>
        <w:t>：</w:t>
      </w:r>
    </w:p>
    <w:p w14:paraId="6162B9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林草种苗是生态修复和植被恢复的基础物质，种苗的效果的好坏直接关系到国土生态治理的水平。退化土地修复不是简单的种苗栽植绿化，种质特性、苗木质量、物种配置以及后期管护一起组成一个完整的系统，任何一个环节的不足都会造成植被恢复失败。目前我国的生态修复已进入攻坚期，大部分待治理的地块属于立地条件差的困难区域，林草种苗的要求也越来越高。面对种质利用欠缺、种苗选择偏离实际、质量管控不到位、管护链条断开的现实问题，以种质挖掘繁育、立地匹配配置、质量把控、全链条协同管护为切入点，最大限度发挥乡土林草种质修复的潜力，坚持近自然群落构建思路，消除科研、育苗、工程建造、后期养护之间壁垒，让林草种苗应用合理高效，培育出稳定的、可持续发展的本土植被群落，真正保证生态修复成果。</w:t>
      </w:r>
    </w:p>
    <w:p w14:paraId="2B61FB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参考文献：</w:t>
      </w:r>
    </w:p>
    <w:p w14:paraId="01497A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[1]姚亚奇.“十四五”时期我国林草种苗工作取得新进展:收集保存林草种质资源14.74万份，增长180%[N].光明日报,2025-12-30(010).</w:t>
      </w:r>
    </w:p>
    <w:p w14:paraId="2E56D3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[2]宋梅.“十四五”我国林草种苗工作取得新进展:种苗花卉年产值超5000亿元[N].中国自然资源报,2025-12-30(001).</w:t>
      </w:r>
    </w:p>
    <w:p w14:paraId="7F2E57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[3]李花兰.林草种苗产业发展面临的困境及策略[J].现代园艺,2022,45(14):28-30.</w:t>
      </w:r>
    </w:p>
    <w:p w14:paraId="23E54C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[4]董建林.建设现代林草种业推进绿色高质量发展[J].北方经济,2021,(7):20-24.</w:t>
      </w:r>
    </w:p>
    <w:p w14:paraId="54E7ED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[5]耿国彪.提升林草科技能力助推美丽中国建设[J].绿色中国,2021,(7):44-49.</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D44769"/>
    <w:rsid w:val="129C6B52"/>
    <w:rsid w:val="35715B59"/>
    <w:rsid w:val="39D43E6F"/>
    <w:rsid w:val="3A8F3754"/>
    <w:rsid w:val="4B165D67"/>
    <w:rsid w:val="584158D7"/>
    <w:rsid w:val="761859B4"/>
    <w:rsid w:val="7F444E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16</TotalTime>
  <Pages>4</Pages>
  <Words>450</Words>
  <Characters>1504</Characters>
  <Application>Microsoft Office Word</Application>
  <DocSecurity>0</DocSecurity>
  <Lines>0</Lines>
  <Paragraphs>0</Paragraphs>
  <ScaleCrop>false</ScaleCrop>
  <Company/>
  <LinksUpToDate>false</LinksUpToDate>
  <CharactersWithSpaces>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不在奢求</cp:lastModifiedBy>
  <cp:revision>0</cp:revision>
  <dcterms:created xsi:type="dcterms:W3CDTF">2026-10-08T06:54:00Z</dcterms:created>
  <dcterms:modified xsi:type="dcterms:W3CDTF">2026-11-04T03:24:48Z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16E9321B2E6A43CB8B04C33E0DEC98AB_12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