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12C1A8E">
      <w:pPr>
        <w:rPr>
          <w:rFonts w:hint="eastAsia"/>
        </w:rPr>
      </w:pPr>
      <w:r>
        <w:rPr>
          <w:rFonts w:hint="eastAsia"/>
        </w:rPr>
        <w:t>（一）深挖文物底蕴，夯实业态融合内容根基</w:t>
      </w:r>
    </w:p>
    <w:p w14:paraId="292A75EF">
      <w:pPr>
        <w:rPr>
          <w:rFonts w:hint="eastAsia"/>
        </w:rPr>
      </w:pPr>
      <w:r>
        <w:rPr>
          <w:rFonts w:hint="eastAsia"/>
        </w:rPr>
        <w:t>内容基础是否牢固，就决定了融合质量的天花板。夯实根基要从建立阐释体系系统架构开始，组建包含考古、文博、地方史志以及一线讲解员的阐释队伍，对考古报告、藏品档案及口述史料展开逐一核对整理工作，剔除相互矛盾记载的内容，对重要的文物制作一份内容丰富的“一物一档”档案，记载每件文物的年代、工艺、流传及故事，形成可多端调用的资源底本。底本还要进一步地转译成受众能读懂的语言，所以分别整理出专家审定稿、大众讲解稿以及研学课程稿，实现学术研究与文化传播两者共赢的局面，讲解词的分层编写就是学术性和可读性统一的过程。文化标识提炼要锁定本地最能体现地域文化特色、最能引发受众共鸣的器物，完成形象设计和商标注册后，再按不同的产品线把文化符号传递到讲解、文创、演艺等产品线上，让文化符号从理念走向产品载体，而不是停留在口号上。</w:t>
      </w:r>
    </w:p>
    <w:p w14:paraId="2EDD49BC">
      <w:pPr>
        <w:rPr>
          <w:rFonts w:hint="eastAsia"/>
        </w:rPr>
      </w:pPr>
    </w:p>
    <w:p w14:paraId="1C86A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（二）创新表达载体，丰富业态融合呈现形式</w:t>
      </w:r>
    </w:p>
    <w:p w14:paraId="1F5AA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只有文物资源走进公众，才会有表达载体的创新。技术层面的改进应该先行进行，创建导览、讲解、打卡功能的AR应用，把不可移动文物转换成线上数字博物馆，游客扫描二维码之后就能看到动态复原的影像，体验穿越时空的历史场景，不能直接复原的建筑空间及器物使用的环境，借助数字媒介也可以被具体地再现。沉浸式业态的培育要交给有实力的专业机构来做，从有代表性的场景中选择实景演艺创作，设计以主题化的剧本游为载体的叙事线索和任务，让游客沉浸于角色的世界之中，摆脱了过去单向度观看的状态，使游客由被动的观赏者变为积极的探索者，在探寻的过程中去发现文化的脉络。产品转化要同步开展，按年龄段设置不同的研学课程，将知识进行拆解成可以动手操作的项目，文创手作、数字藏品等衍生品同步上线，形成一条完整的体验、学习、消费路径。传播渠道不能空置，用短视频、直播的形式不断进行文物故事的传播，用简短的文字打破地域隔阂，把线下客流吸引到线上。</w:t>
      </w:r>
    </w:p>
    <w:p w14:paraId="68FC7E48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467058"/>
    <w:rsid w:val="234670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2026-11-04T03:03:00Z</dcterms:created>
  <dcterms:modified xsi:type="dcterms:W3CDTF">2026-11-04T03:03:44Z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A25F7C79E03C4F098897E931BF24B35D_11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