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E57307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建筑企业</w:t>
      </w:r>
      <w:r>
        <w:rPr>
          <w:rFonts w:asciiTheme="minorEastAsia" w:hAnsiTheme="minorEastAsia" w:cstheme="minorEastAsia" w:hint="eastAsia"/>
          <w:b w:val="0"/>
          <w:bCs w:val="0"/>
          <w:sz w:val="21"/>
          <w:szCs w:val="21"/>
          <w:lang w:eastAsia="zh-CN"/>
        </w:rPr>
        <w:t>“</w:t>
      </w:r>
      <w:r>
        <w:rPr>
          <w:rFonts w:asciiTheme="minorEastAsia" w:eastAsiaTheme="minorEastAsia" w:hAnsiTheme="minorEastAsia" w:cstheme="minorEastAsia" w:hint="eastAsia"/>
          <w:b w:val="0"/>
          <w:bCs w:val="0"/>
          <w:sz w:val="21"/>
          <w:szCs w:val="21"/>
        </w:rPr>
        <w:t>两金</w:t>
      </w:r>
      <w:r>
        <w:rPr>
          <w:rFonts w:asciiTheme="minorEastAsia" w:hAnsiTheme="minorEastAsia" w:cstheme="minorEastAsia" w:hint="eastAsia"/>
          <w:b w:val="0"/>
          <w:bCs w:val="0"/>
          <w:sz w:val="21"/>
          <w:szCs w:val="21"/>
          <w:lang w:eastAsia="zh-CN"/>
        </w:rPr>
        <w:t>”</w:t>
      </w:r>
      <w:r>
        <w:rPr>
          <w:rFonts w:asciiTheme="minorEastAsia" w:eastAsiaTheme="minorEastAsia" w:hAnsiTheme="minorEastAsia" w:cstheme="minorEastAsia" w:hint="eastAsia"/>
          <w:b w:val="0"/>
          <w:bCs w:val="0"/>
          <w:sz w:val="21"/>
          <w:szCs w:val="21"/>
        </w:rPr>
        <w:t>压降导向的绩效考核指标统筹优化研究</w:t>
      </w:r>
    </w:p>
    <w:p w14:paraId="5AD6C2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摘要</w:t>
      </w:r>
      <w:r>
        <w:rPr>
          <w:rFonts w:asciiTheme="minorEastAsia" w:eastAsiaTheme="minorEastAsia" w:hAnsiTheme="minorEastAsia" w:cstheme="minorEastAsia" w:hint="eastAsia"/>
          <w:b w:val="0"/>
          <w:bCs w:val="0"/>
          <w:sz w:val="21"/>
          <w:szCs w:val="21"/>
          <w:lang w:eastAsia="zh-CN"/>
        </w:rPr>
        <w:t>：</w:t>
      </w:r>
      <w:r>
        <w:rPr>
          <w:rFonts w:asciiTheme="minorEastAsia" w:hAnsiTheme="minorEastAsia" w:cstheme="minorEastAsia" w:hint="eastAsia"/>
          <w:b w:val="0"/>
          <w:bCs w:val="0"/>
          <w:sz w:val="21"/>
          <w:szCs w:val="21"/>
          <w:lang w:eastAsia="zh-CN"/>
        </w:rPr>
        <w:t>“两</w:t>
      </w:r>
      <w:r>
        <w:rPr>
          <w:rFonts w:asciiTheme="minorEastAsia" w:eastAsiaTheme="minorEastAsia" w:hAnsiTheme="minorEastAsia" w:cstheme="minorEastAsia" w:hint="eastAsia"/>
          <w:b w:val="0"/>
          <w:bCs w:val="0"/>
          <w:sz w:val="21"/>
          <w:szCs w:val="21"/>
        </w:rPr>
        <w:t>金”</w:t>
      </w:r>
      <w:r>
        <w:rPr>
          <w:rFonts w:asciiTheme="minorEastAsia" w:hAnsiTheme="minorEastAsia" w:cstheme="minorEastAsia" w:hint="eastAsia"/>
          <w:b w:val="0"/>
          <w:bCs w:val="0"/>
          <w:sz w:val="21"/>
          <w:szCs w:val="21"/>
          <w:lang w:eastAsia="zh-CN"/>
        </w:rPr>
        <w:t>是</w:t>
      </w:r>
      <w:r>
        <w:rPr>
          <w:rFonts w:asciiTheme="minorEastAsia" w:eastAsiaTheme="minorEastAsia" w:hAnsiTheme="minorEastAsia" w:cstheme="minorEastAsia" w:hint="eastAsia"/>
          <w:b w:val="0"/>
          <w:bCs w:val="0"/>
          <w:sz w:val="21"/>
          <w:szCs w:val="21"/>
        </w:rPr>
        <w:t>建筑企业占用资金的主要两种方式，两个的数额大不大直接影响到企业的现金流安全和资产周转的速度。长期以来建筑企业的绩效考核以产值、合同额等量化的指标为主，对于两金压降的引导不够有力，造成规模扩张和资金沉淀并存的矛盾越来越大。在对两金压降导向绩效考核重新设计的基础上，对目前的考核指标权重分布、口径划分、目标衔接以及责任落实等各方面的失衡情况进行分析，从指标组合、存量增量分类、业财协同、激励约束这四个方面提出统筹优化建议，给出具体的指标设置示意图，给建筑企业用考核指挥棒带动两金压降、提高经营质量提供可行的思路。</w:t>
      </w:r>
    </w:p>
    <w:p w14:paraId="709421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关键词：</w:t>
      </w:r>
      <w:r>
        <w:rPr>
          <w:rFonts w:asciiTheme="minorEastAsia" w:hAnsiTheme="minorEastAsia" w:cstheme="minorEastAsia" w:hint="eastAsia"/>
          <w:b w:val="0"/>
          <w:bCs w:val="0"/>
          <w:sz w:val="21"/>
          <w:szCs w:val="21"/>
          <w:lang w:eastAsia="zh-CN"/>
        </w:rPr>
        <w:t>“</w:t>
      </w:r>
      <w:r>
        <w:rPr>
          <w:rFonts w:asciiTheme="minorEastAsia" w:eastAsiaTheme="minorEastAsia" w:hAnsiTheme="minorEastAsia" w:cstheme="minorEastAsia" w:hint="eastAsia"/>
          <w:b w:val="0"/>
          <w:bCs w:val="0"/>
          <w:sz w:val="21"/>
          <w:szCs w:val="21"/>
        </w:rPr>
        <w:t>两金</w:t>
      </w:r>
      <w:r>
        <w:rPr>
          <w:rFonts w:asciiTheme="minorEastAsia" w:hAnsiTheme="minorEastAsia" w:cstheme="minorEastAsia" w:hint="eastAsia"/>
          <w:b w:val="0"/>
          <w:bCs w:val="0"/>
          <w:sz w:val="21"/>
          <w:szCs w:val="21"/>
          <w:lang w:eastAsia="zh-CN"/>
        </w:rPr>
        <w:t>”</w:t>
      </w:r>
      <w:r>
        <w:rPr>
          <w:rFonts w:asciiTheme="minorEastAsia" w:eastAsiaTheme="minorEastAsia" w:hAnsiTheme="minorEastAsia" w:cstheme="minorEastAsia" w:hint="eastAsia"/>
          <w:b w:val="0"/>
          <w:bCs w:val="0"/>
          <w:sz w:val="21"/>
          <w:szCs w:val="21"/>
        </w:rPr>
        <w:t>压降；绩效考核；应收账款；存货；指标统筹</w:t>
      </w:r>
    </w:p>
    <w:p w14:paraId="069882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引言</w:t>
      </w:r>
    </w:p>
    <w:p w14:paraId="7759B0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建筑企业垫资施工、结算拖期、竣工周期长的特点，造成本企业的应收账款、存货长期居高不下，是企业利润被侵蚀、现金流被挤占的主要原因。国务院国资委在《关于做好中央企业增收节支工作的通知》中提出，从源头抓起控制两金，严格信用管理，严控新增欠款，严格核定存货占用标准，使应收账款周转率、存货周转率大于上年，给建筑企业指明了经营的方向</w:t>
      </w:r>
      <w:r>
        <w:rPr>
          <w:rFonts w:asciiTheme="minorEastAsia" w:eastAsiaTheme="minorEastAsia" w:hAnsiTheme="minorEastAsia" w:cstheme="minorEastAsia" w:hint="eastAsia"/>
          <w:b w:val="0"/>
          <w:bCs w:val="0"/>
          <w:sz w:val="21"/>
          <w:szCs w:val="21"/>
          <w:vertAlign w:val="superscript"/>
          <w:lang w:val="en-US" w:eastAsia="zh-CN"/>
        </w:rPr>
        <w:t>[1]</w:t>
      </w:r>
      <w:r>
        <w:rPr>
          <w:rFonts w:asciiTheme="minorEastAsia" w:eastAsiaTheme="minorEastAsia" w:hAnsiTheme="minorEastAsia" w:cstheme="minorEastAsia" w:hint="eastAsia"/>
          <w:b w:val="0"/>
          <w:bCs w:val="0"/>
          <w:sz w:val="21"/>
          <w:szCs w:val="21"/>
        </w:rPr>
        <w:t>。但是大部分企业绩效考核依然停留在产值、签约额的传统轨道上，没有把两金导向真正嵌入到绩效指标的设计和结果的运用当中，考核指挥棒的作用也变得越来越弱。怎样围绕两金压降合理规划绩效考核指标，使考核目标和资金管控目标相互促进、齐头并进，是目前建筑企业所要解决的问题。</w:t>
      </w:r>
    </w:p>
    <w:p w14:paraId="519094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一、</w:t>
      </w:r>
      <w:r>
        <w:rPr>
          <w:rFonts w:asciiTheme="minorEastAsia" w:hAnsiTheme="minorEastAsia" w:cstheme="minorEastAsia" w:hint="eastAsia"/>
          <w:b w:val="0"/>
          <w:bCs w:val="0"/>
          <w:sz w:val="21"/>
          <w:szCs w:val="21"/>
          <w:lang w:eastAsia="zh-CN"/>
        </w:rPr>
        <w:t>“</w:t>
      </w:r>
      <w:r>
        <w:rPr>
          <w:rFonts w:asciiTheme="minorEastAsia" w:eastAsiaTheme="minorEastAsia" w:hAnsiTheme="minorEastAsia" w:cstheme="minorEastAsia" w:hint="eastAsia"/>
          <w:b w:val="0"/>
          <w:bCs w:val="0"/>
          <w:sz w:val="21"/>
          <w:szCs w:val="21"/>
        </w:rPr>
        <w:t>两金</w:t>
      </w:r>
      <w:r>
        <w:rPr>
          <w:rFonts w:asciiTheme="minorEastAsia" w:hAnsiTheme="minorEastAsia" w:cstheme="minorEastAsia" w:hint="eastAsia"/>
          <w:b w:val="0"/>
          <w:bCs w:val="0"/>
          <w:sz w:val="21"/>
          <w:szCs w:val="21"/>
          <w:lang w:eastAsia="zh-CN"/>
        </w:rPr>
        <w:t>”</w:t>
      </w:r>
      <w:r>
        <w:rPr>
          <w:rFonts w:asciiTheme="minorEastAsia" w:eastAsiaTheme="minorEastAsia" w:hAnsiTheme="minorEastAsia" w:cstheme="minorEastAsia" w:hint="eastAsia"/>
          <w:b w:val="0"/>
          <w:bCs w:val="0"/>
          <w:sz w:val="21"/>
          <w:szCs w:val="21"/>
        </w:rPr>
        <w:t>压降导向的绩效考核指标体系重构逻辑</w:t>
      </w:r>
    </w:p>
    <w:p w14:paraId="76AB71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两金压降不是简单的财务收缩、短期资金挤兑，是建筑企业经营逻辑由原来的单一追求规模增长转向以质量效益为中心的深层表现。绩效考核作为指引各个层次经营行为的指挥棒，只有让整个考核指标体系同频共振、和两金控制目标同频共振，一线项目、业务部门的日常经营行为才会主动地向资金回笼的方向靠拢</w:t>
      </w:r>
      <w:r>
        <w:rPr>
          <w:rFonts w:asciiTheme="minorEastAsia" w:eastAsiaTheme="minorEastAsia" w:hAnsiTheme="minorEastAsia" w:cstheme="minorEastAsia" w:hint="eastAsia"/>
          <w:b w:val="0"/>
          <w:bCs w:val="0"/>
          <w:sz w:val="21"/>
          <w:szCs w:val="21"/>
          <w:vertAlign w:val="superscript"/>
          <w:lang w:val="en-US" w:eastAsia="zh-CN"/>
        </w:rPr>
        <w:t>[</w:t>
      </w:r>
      <w:r>
        <w:rPr>
          <w:rFonts w:asciiTheme="minorEastAsia" w:hAnsiTheme="minorEastAsia" w:cstheme="minorEastAsia" w:hint="eastAsia"/>
          <w:b w:val="0"/>
          <w:bCs w:val="0"/>
          <w:sz w:val="21"/>
          <w:szCs w:val="21"/>
          <w:vertAlign w:val="superscript"/>
          <w:lang w:val="en-US" w:eastAsia="zh-CN"/>
        </w:rPr>
        <w:t>2</w:t>
      </w:r>
      <w:r>
        <w:rPr>
          <w:rFonts w:asciiTheme="minorEastAsia" w:eastAsiaTheme="minorEastAsia" w:hAnsiTheme="minorEastAsia" w:cstheme="minorEastAsia" w:hint="eastAsia"/>
          <w:b w:val="0"/>
          <w:bCs w:val="0"/>
          <w:sz w:val="21"/>
          <w:szCs w:val="21"/>
          <w:vertAlign w:val="superscript"/>
          <w:lang w:val="en-US" w:eastAsia="zh-CN"/>
        </w:rPr>
        <w:t>]</w:t>
      </w:r>
      <w:r>
        <w:rPr>
          <w:rFonts w:asciiTheme="minorEastAsia" w:eastAsiaTheme="minorEastAsia" w:hAnsiTheme="minorEastAsia" w:cstheme="minorEastAsia" w:hint="eastAsia"/>
          <w:b w:val="0"/>
          <w:bCs w:val="0"/>
          <w:sz w:val="21"/>
          <w:szCs w:val="21"/>
        </w:rPr>
        <w:t>。重构逻辑大致分三个层次互相支撑，第一层是把经营成果真实性的考核和资金回笼的质量常态化，促使账面核算的利润慢慢回到真实的现金利润上，防止虚挂的应收账款、长期滞销的存货掩盖真实的项目利润，造成经营评价失真；第二层就是把两金资金占用额同资产周转率指标绑定起来，促使市场、工程、物资等条线的项目承接、现场履约、竣工结算各个阶段的各部门共同考虑资金占用所造成的隐性成本，自觉控制新增资金沉淀；第三层就是综合考虑短期压降任务和长期体系化治理的需要，防止因阶段性考核指标的完成而采取运动式压降的做法，留下后患。主要目的是把两金指标由辅助性的参考指标变成刚性的约束指标，使考核指标既能体现规模、又能体现质量，既能体现增量又能体现存量，考核指挥棒同两金管控目标一起，最终达到同向配置的目的。</w:t>
      </w:r>
    </w:p>
    <w:p w14:paraId="6BBA98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bookmarkStart w:id="0" w:name="_GoBack"/>
      <w:bookmarkEnd w:id="0"/>
      <w:r>
        <w:rPr>
          <w:rFonts w:asciiTheme="minorEastAsia" w:eastAsiaTheme="minorEastAsia" w:hAnsiTheme="minorEastAsia" w:cstheme="minorEastAsia" w:hint="eastAsia"/>
          <w:b w:val="0"/>
          <w:bCs w:val="0"/>
          <w:sz w:val="21"/>
          <w:szCs w:val="21"/>
        </w:rPr>
        <w:t>三、建筑企业</w:t>
      </w:r>
      <w:r>
        <w:rPr>
          <w:rFonts w:asciiTheme="minorEastAsia" w:hAnsiTheme="minorEastAsia" w:cstheme="minorEastAsia" w:hint="eastAsia"/>
          <w:b w:val="0"/>
          <w:bCs w:val="0"/>
          <w:sz w:val="21"/>
          <w:szCs w:val="21"/>
          <w:lang w:eastAsia="zh-CN"/>
        </w:rPr>
        <w:t>“</w:t>
      </w:r>
      <w:r>
        <w:rPr>
          <w:rFonts w:asciiTheme="minorEastAsia" w:eastAsiaTheme="minorEastAsia" w:hAnsiTheme="minorEastAsia" w:cstheme="minorEastAsia" w:hint="eastAsia"/>
          <w:b w:val="0"/>
          <w:bCs w:val="0"/>
          <w:sz w:val="21"/>
          <w:szCs w:val="21"/>
        </w:rPr>
        <w:t>两金</w:t>
      </w:r>
      <w:r>
        <w:rPr>
          <w:rFonts w:asciiTheme="minorEastAsia" w:hAnsiTheme="minorEastAsia" w:cstheme="minorEastAsia" w:hint="eastAsia"/>
          <w:b w:val="0"/>
          <w:bCs w:val="0"/>
          <w:sz w:val="21"/>
          <w:szCs w:val="21"/>
          <w:lang w:eastAsia="zh-CN"/>
        </w:rPr>
        <w:t>”</w:t>
      </w:r>
      <w:r>
        <w:rPr>
          <w:rFonts w:asciiTheme="minorEastAsia" w:eastAsiaTheme="minorEastAsia" w:hAnsiTheme="minorEastAsia" w:cstheme="minorEastAsia" w:hint="eastAsia"/>
          <w:b w:val="0"/>
          <w:bCs w:val="0"/>
          <w:sz w:val="21"/>
          <w:szCs w:val="21"/>
        </w:rPr>
        <w:t>压降导向的绩效指标统筹优化路径</w:t>
      </w:r>
    </w:p>
    <w:p w14:paraId="2D4363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（一）统筹规模与效率，重构两金核心指标组合</w:t>
      </w:r>
    </w:p>
    <w:p w14:paraId="68E0AB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考核指标的调整首先要使两金管控从财务部门的单独任务转变成全员共识，用指标组合设计的方式使压降导向渗透到每一个经营环节</w:t>
      </w:r>
      <w:r>
        <w:rPr>
          <w:rFonts w:asciiTheme="minorEastAsia" w:hAnsiTheme="minorEastAsia" w:cstheme="minorEastAsia" w:hint="eastAsia"/>
          <w:b w:val="0"/>
          <w:bCs w:val="0"/>
          <w:sz w:val="21"/>
          <w:szCs w:val="21"/>
          <w:lang w:eastAsia="zh-CN"/>
        </w:rPr>
        <w:t>中</w:t>
      </w:r>
      <w:r>
        <w:rPr>
          <w:rFonts w:asciiTheme="minorEastAsia" w:eastAsiaTheme="minorEastAsia" w:hAnsiTheme="minorEastAsia" w:cstheme="minorEastAsia" w:hint="eastAsia"/>
          <w:b w:val="0"/>
          <w:bCs w:val="0"/>
          <w:sz w:val="21"/>
          <w:szCs w:val="21"/>
        </w:rPr>
        <w:t>，建筑企业可以同时从规模和效率两个方面入手，设计出层级分明、互相配合的指标体系</w:t>
      </w:r>
      <w:r>
        <w:rPr>
          <w:rFonts w:asciiTheme="minorEastAsia" w:eastAsiaTheme="minorEastAsia" w:hAnsiTheme="minorEastAsia" w:cstheme="minorEastAsia" w:hint="eastAsia"/>
          <w:b w:val="0"/>
          <w:bCs w:val="0"/>
          <w:sz w:val="21"/>
          <w:szCs w:val="21"/>
          <w:vertAlign w:val="superscript"/>
          <w:lang w:val="en-US" w:eastAsia="zh-CN"/>
        </w:rPr>
        <w:t>[</w:t>
      </w:r>
      <w:r>
        <w:rPr>
          <w:rFonts w:asciiTheme="minorEastAsia" w:hAnsiTheme="minorEastAsia" w:cstheme="minorEastAsia" w:hint="eastAsia"/>
          <w:b w:val="0"/>
          <w:bCs w:val="0"/>
          <w:sz w:val="21"/>
          <w:szCs w:val="21"/>
          <w:vertAlign w:val="superscript"/>
          <w:lang w:val="en-US" w:eastAsia="zh-CN"/>
        </w:rPr>
        <w:t>3</w:t>
      </w:r>
      <w:r>
        <w:rPr>
          <w:rFonts w:asciiTheme="minorEastAsia" w:eastAsiaTheme="minorEastAsia" w:hAnsiTheme="minorEastAsia" w:cstheme="minorEastAsia" w:hint="eastAsia"/>
          <w:b w:val="0"/>
          <w:bCs w:val="0"/>
          <w:sz w:val="21"/>
          <w:szCs w:val="21"/>
          <w:vertAlign w:val="superscript"/>
          <w:lang w:val="en-US" w:eastAsia="zh-CN"/>
        </w:rPr>
        <w:t>]</w:t>
      </w:r>
      <w:r>
        <w:rPr>
          <w:rFonts w:asciiTheme="minorEastAsia" w:eastAsiaTheme="minorEastAsia" w:hAnsiTheme="minorEastAsia" w:cstheme="minorEastAsia" w:hint="eastAsia"/>
          <w:b w:val="0"/>
          <w:bCs w:val="0"/>
          <w:sz w:val="21"/>
          <w:szCs w:val="21"/>
        </w:rPr>
        <w:t>。从规模方面，将应收账款余额、存货余额以及存货占营业收入的比重当作总量控制指标，确定压降底线及年度降幅，在效率上主要选择应收账款周转率、存货周转率、回款率等运营质量指标，同时用经营活动现金流量净额进行证明，防止因为追求账面压降而使真实的回款受到影响。指标之间要有勾稽关系，即回款率与产值目标挂钩，存货周转与施工进度计划联系起来，每一个指标都有明确的责任。权重的设计应当在保持两金类指标考核权重的基础上稍做提高，使两者处于一种均衡的状态，不能只重视一个。考核周期也要做相应的调整，由于两金压降是持续的过程，所以采用季度考核与年度考核相结合的方式进行考核，不能只看时点余额，还要看过程的趋势，不能让年末突击冲量掩盖真实的状况。</w:t>
      </w:r>
    </w:p>
    <w:p w14:paraId="4A2E46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表1应收账款与存货核心指标组合设置示意</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58"/>
        <w:gridCol w:w="2880"/>
        <w:gridCol w:w="2683"/>
        <w:gridCol w:w="1801"/>
      </w:tblGrid>
      <w:tr w14:paraId="30854FF2">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158" w:type="dxa"/>
            <w:vAlign w:val="center"/>
          </w:tcPr>
          <w:p w14:paraId="3003A7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考核维度</w:t>
            </w:r>
          </w:p>
        </w:tc>
        <w:tc>
          <w:tcPr>
            <w:tcW w:w="2880" w:type="dxa"/>
            <w:vAlign w:val="center"/>
          </w:tcPr>
          <w:p w14:paraId="2316AC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具体指标</w:t>
            </w:r>
          </w:p>
        </w:tc>
        <w:tc>
          <w:tcPr>
            <w:tcW w:w="2683" w:type="dxa"/>
            <w:vAlign w:val="center"/>
          </w:tcPr>
          <w:p w14:paraId="5F1C4F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考核要点</w:t>
            </w:r>
          </w:p>
        </w:tc>
        <w:tc>
          <w:tcPr>
            <w:tcW w:w="1801" w:type="dxa"/>
            <w:vAlign w:val="center"/>
          </w:tcPr>
          <w:p w14:paraId="4A78BC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责任主体</w:t>
            </w:r>
          </w:p>
        </w:tc>
      </w:tr>
      <w:tr w14:paraId="23597BF9">
        <w:tblPrEx>
          <w:tblW w:w="0" w:type="auto"/>
          <w:tblInd w:w="0" w:type="dxa"/>
          <w:tblCellMar>
            <w:top w:w="0" w:type="dxa"/>
            <w:left w:w="108" w:type="dxa"/>
            <w:bottom w:w="0" w:type="dxa"/>
            <w:right w:w="108" w:type="dxa"/>
          </w:tblCellMar>
        </w:tblPrEx>
        <w:tc>
          <w:tcPr>
            <w:tcW w:w="1158" w:type="dxa"/>
            <w:vAlign w:val="center"/>
          </w:tcPr>
          <w:p w14:paraId="7A05F0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总量控制</w:t>
            </w:r>
          </w:p>
        </w:tc>
        <w:tc>
          <w:tcPr>
            <w:tcW w:w="2880" w:type="dxa"/>
            <w:vAlign w:val="center"/>
          </w:tcPr>
          <w:p w14:paraId="7FA720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应收账款余额及占营收比重</w:t>
            </w:r>
          </w:p>
        </w:tc>
        <w:tc>
          <w:tcPr>
            <w:tcW w:w="2683" w:type="dxa"/>
            <w:vAlign w:val="center"/>
          </w:tcPr>
          <w:p w14:paraId="30BAEB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年度压降幅度、时点余额</w:t>
            </w:r>
          </w:p>
        </w:tc>
        <w:tc>
          <w:tcPr>
            <w:tcW w:w="1801" w:type="dxa"/>
            <w:vAlign w:val="center"/>
          </w:tcPr>
          <w:p w14:paraId="02F260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财务部、分公司</w:t>
            </w:r>
          </w:p>
        </w:tc>
      </w:tr>
      <w:tr w14:paraId="40B501D0">
        <w:tblPrEx>
          <w:tblW w:w="0" w:type="auto"/>
          <w:tblInd w:w="0" w:type="dxa"/>
          <w:tblCellMar>
            <w:top w:w="0" w:type="dxa"/>
            <w:left w:w="108" w:type="dxa"/>
            <w:bottom w:w="0" w:type="dxa"/>
            <w:right w:w="108" w:type="dxa"/>
          </w:tblCellMar>
        </w:tblPrEx>
        <w:tc>
          <w:tcPr>
            <w:tcW w:w="1158" w:type="dxa"/>
            <w:vAlign w:val="center"/>
          </w:tcPr>
          <w:p w14:paraId="0BA997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总量控制</w:t>
            </w:r>
          </w:p>
        </w:tc>
        <w:tc>
          <w:tcPr>
            <w:tcW w:w="2880" w:type="dxa"/>
            <w:vAlign w:val="center"/>
          </w:tcPr>
          <w:p w14:paraId="6F7DA0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存货余额及占营收比重</w:t>
            </w:r>
          </w:p>
        </w:tc>
        <w:tc>
          <w:tcPr>
            <w:tcW w:w="2683" w:type="dxa"/>
            <w:vAlign w:val="center"/>
          </w:tcPr>
          <w:p w14:paraId="13DCDB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库存结构、呆滞占比</w:t>
            </w:r>
          </w:p>
        </w:tc>
        <w:tc>
          <w:tcPr>
            <w:tcW w:w="1801" w:type="dxa"/>
            <w:vAlign w:val="center"/>
          </w:tcPr>
          <w:p w14:paraId="1627AC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物资部、项目部</w:t>
            </w:r>
          </w:p>
        </w:tc>
      </w:tr>
      <w:tr w14:paraId="7AF06917">
        <w:tblPrEx>
          <w:tblW w:w="0" w:type="auto"/>
          <w:tblInd w:w="0" w:type="dxa"/>
          <w:tblCellMar>
            <w:top w:w="0" w:type="dxa"/>
            <w:left w:w="108" w:type="dxa"/>
            <w:bottom w:w="0" w:type="dxa"/>
            <w:right w:w="108" w:type="dxa"/>
          </w:tblCellMar>
        </w:tblPrEx>
        <w:tc>
          <w:tcPr>
            <w:tcW w:w="1158" w:type="dxa"/>
            <w:vAlign w:val="center"/>
          </w:tcPr>
          <w:p w14:paraId="362C03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效率质量</w:t>
            </w:r>
          </w:p>
        </w:tc>
        <w:tc>
          <w:tcPr>
            <w:tcW w:w="2880" w:type="dxa"/>
            <w:vAlign w:val="center"/>
          </w:tcPr>
          <w:p w14:paraId="78D4C4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应收账款周转率</w:t>
            </w:r>
          </w:p>
        </w:tc>
        <w:tc>
          <w:tcPr>
            <w:tcW w:w="2683" w:type="dxa"/>
            <w:vAlign w:val="center"/>
          </w:tcPr>
          <w:p w14:paraId="4276A3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回款速度、账龄结构</w:t>
            </w:r>
          </w:p>
        </w:tc>
        <w:tc>
          <w:tcPr>
            <w:tcW w:w="1801" w:type="dxa"/>
            <w:vAlign w:val="center"/>
          </w:tcPr>
          <w:p w14:paraId="365C51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市场部、项目部</w:t>
            </w:r>
          </w:p>
        </w:tc>
      </w:tr>
      <w:tr w14:paraId="780B4BF3">
        <w:tblPrEx>
          <w:tblW w:w="0" w:type="auto"/>
          <w:tblInd w:w="0" w:type="dxa"/>
          <w:tblCellMar>
            <w:top w:w="0" w:type="dxa"/>
            <w:left w:w="108" w:type="dxa"/>
            <w:bottom w:w="0" w:type="dxa"/>
            <w:right w:w="108" w:type="dxa"/>
          </w:tblCellMar>
        </w:tblPrEx>
        <w:tc>
          <w:tcPr>
            <w:tcW w:w="1158" w:type="dxa"/>
            <w:vAlign w:val="center"/>
          </w:tcPr>
          <w:p w14:paraId="14E1A2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效率质量</w:t>
            </w:r>
          </w:p>
        </w:tc>
        <w:tc>
          <w:tcPr>
            <w:tcW w:w="2880" w:type="dxa"/>
            <w:vAlign w:val="center"/>
          </w:tcPr>
          <w:p w14:paraId="69F8AC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存货周转率</w:t>
            </w:r>
          </w:p>
        </w:tc>
        <w:tc>
          <w:tcPr>
            <w:tcW w:w="2683" w:type="dxa"/>
            <w:vAlign w:val="center"/>
          </w:tcPr>
          <w:p w14:paraId="799D88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材料周转、完工结转</w:t>
            </w:r>
          </w:p>
        </w:tc>
        <w:tc>
          <w:tcPr>
            <w:tcW w:w="1801" w:type="dxa"/>
            <w:vAlign w:val="center"/>
          </w:tcPr>
          <w:p w14:paraId="0B638C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工程部、物资部</w:t>
            </w:r>
          </w:p>
        </w:tc>
      </w:tr>
      <w:tr w14:paraId="7F72E74F">
        <w:tblPrEx>
          <w:tblW w:w="0" w:type="auto"/>
          <w:tblInd w:w="0" w:type="dxa"/>
          <w:tblCellMar>
            <w:top w:w="0" w:type="dxa"/>
            <w:left w:w="108" w:type="dxa"/>
            <w:bottom w:w="0" w:type="dxa"/>
            <w:right w:w="108" w:type="dxa"/>
          </w:tblCellMar>
        </w:tblPrEx>
        <w:tc>
          <w:tcPr>
            <w:tcW w:w="1158" w:type="dxa"/>
            <w:vAlign w:val="center"/>
          </w:tcPr>
          <w:p w14:paraId="2CBC18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结果印证</w:t>
            </w:r>
          </w:p>
        </w:tc>
        <w:tc>
          <w:tcPr>
            <w:tcW w:w="2880" w:type="dxa"/>
            <w:vAlign w:val="center"/>
          </w:tcPr>
          <w:p w14:paraId="476A3D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经营活动现金流量净额</w:t>
            </w:r>
          </w:p>
        </w:tc>
        <w:tc>
          <w:tcPr>
            <w:tcW w:w="2683" w:type="dxa"/>
            <w:vAlign w:val="center"/>
          </w:tcPr>
          <w:p w14:paraId="1ACF85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真实回款、现金流质量</w:t>
            </w:r>
          </w:p>
        </w:tc>
        <w:tc>
          <w:tcPr>
            <w:tcW w:w="1801" w:type="dxa"/>
            <w:vAlign w:val="center"/>
          </w:tcPr>
          <w:p w14:paraId="297552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财务部</w:t>
            </w:r>
          </w:p>
        </w:tc>
      </w:tr>
    </w:tbl>
    <w:p w14:paraId="0C7961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（二）细分存量与增量，实施差异化压降考核</w:t>
      </w:r>
    </w:p>
    <w:p w14:paraId="6BAFD3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存量两金是历史遗留下来的负担，增量两金是当下的经营行为，将两者混为一谈的考核是不公平的，也是无法真正发力的，企业应当分别设立考核指标，分项考核，使每一类压降的责任都归于某人</w:t>
      </w:r>
      <w:r>
        <w:rPr>
          <w:rFonts w:asciiTheme="minorEastAsia" w:eastAsiaTheme="minorEastAsia" w:hAnsiTheme="minorEastAsia" w:cstheme="minorEastAsia" w:hint="eastAsia"/>
          <w:b w:val="0"/>
          <w:bCs w:val="0"/>
          <w:sz w:val="21"/>
          <w:szCs w:val="21"/>
          <w:vertAlign w:val="superscript"/>
          <w:lang w:val="en-US" w:eastAsia="zh-CN"/>
        </w:rPr>
        <w:t>[</w:t>
      </w:r>
      <w:r>
        <w:rPr>
          <w:rFonts w:asciiTheme="minorEastAsia" w:hAnsiTheme="minorEastAsia" w:cstheme="minorEastAsia" w:hint="eastAsia"/>
          <w:b w:val="0"/>
          <w:bCs w:val="0"/>
          <w:sz w:val="21"/>
          <w:szCs w:val="21"/>
          <w:vertAlign w:val="superscript"/>
          <w:lang w:val="en-US" w:eastAsia="zh-CN"/>
        </w:rPr>
        <w:t>4</w:t>
      </w:r>
      <w:r>
        <w:rPr>
          <w:rFonts w:asciiTheme="minorEastAsia" w:eastAsiaTheme="minorEastAsia" w:hAnsiTheme="minorEastAsia" w:cstheme="minorEastAsia" w:hint="eastAsia"/>
          <w:b w:val="0"/>
          <w:bCs w:val="0"/>
          <w:sz w:val="21"/>
          <w:szCs w:val="21"/>
          <w:vertAlign w:val="superscript"/>
          <w:lang w:val="en-US" w:eastAsia="zh-CN"/>
        </w:rPr>
        <w:t>]</w:t>
      </w:r>
      <w:r>
        <w:rPr>
          <w:rFonts w:asciiTheme="minorEastAsia" w:eastAsiaTheme="minorEastAsia" w:hAnsiTheme="minorEastAsia" w:cstheme="minorEastAsia" w:hint="eastAsia"/>
          <w:b w:val="0"/>
          <w:bCs w:val="0"/>
          <w:sz w:val="21"/>
          <w:szCs w:val="21"/>
        </w:rPr>
        <w:t>。对存量两金实行清收和处置专项指标，根据账龄分段确定清收比例，账龄越长考核权重越高，把多年陈欠的回收当作重点，实行催收激励、核销措施，对增量两金考核新增欠款所占比例和新签合同付款条件，把预收款比例、进度款回收节点写入考核细则，从源头上控制信用标准。差异化还包含着不同的政策，不同的业务板块以及不同的区域市场回款周期存在天然的差别，考核标准不能一概而论，而应该结合行业惯例以及历史水平来制定合理的区间范围，对于垫资需求较大的项目应当制定单独的口径。以存量、增量分层考核，可以使历史包袱得以消除，也可以防止新的资金沉淀，使两金压降工作沿着常态化的轨道不断向前推进，而不是做短期的活动。</w:t>
      </w:r>
    </w:p>
    <w:p w14:paraId="1D937D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（三）强化业财协同，把回款责任嵌入全流程</w:t>
      </w:r>
    </w:p>
    <w:p w14:paraId="783980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表面上看，两金压降是财务问题，其实是业务前端的问题，只有把业务人员的回款意识和产值意识放在同等重视的位置上，考核才会真正抓住问题的牛鼻子，这就需要财务指标延伸到业务前端，形成业财一体化的考核链条</w:t>
      </w:r>
      <w:r>
        <w:rPr>
          <w:rFonts w:asciiTheme="minorEastAsia" w:eastAsiaTheme="minorEastAsia" w:hAnsiTheme="minorEastAsia" w:cstheme="minorEastAsia" w:hint="eastAsia"/>
          <w:b w:val="0"/>
          <w:bCs w:val="0"/>
          <w:sz w:val="21"/>
          <w:szCs w:val="21"/>
          <w:vertAlign w:val="superscript"/>
          <w:lang w:val="en-US" w:eastAsia="zh-CN"/>
        </w:rPr>
        <w:t>[</w:t>
      </w:r>
      <w:r>
        <w:rPr>
          <w:rFonts w:asciiTheme="minorEastAsia" w:hAnsiTheme="minorEastAsia" w:cstheme="minorEastAsia" w:hint="eastAsia"/>
          <w:b w:val="0"/>
          <w:bCs w:val="0"/>
          <w:sz w:val="21"/>
          <w:szCs w:val="21"/>
          <w:vertAlign w:val="superscript"/>
          <w:lang w:val="en-US" w:eastAsia="zh-CN"/>
        </w:rPr>
        <w:t>5</w:t>
      </w:r>
      <w:r>
        <w:rPr>
          <w:rFonts w:asciiTheme="minorEastAsia" w:eastAsiaTheme="minorEastAsia" w:hAnsiTheme="minorEastAsia" w:cstheme="minorEastAsia" w:hint="eastAsia"/>
          <w:b w:val="0"/>
          <w:bCs w:val="0"/>
          <w:sz w:val="21"/>
          <w:szCs w:val="21"/>
          <w:vertAlign w:val="superscript"/>
          <w:lang w:val="en-US" w:eastAsia="zh-CN"/>
        </w:rPr>
        <w:t>]</w:t>
      </w:r>
      <w:r>
        <w:rPr>
          <w:rFonts w:asciiTheme="minorEastAsia" w:eastAsiaTheme="minorEastAsia" w:hAnsiTheme="minorEastAsia" w:cstheme="minorEastAsia" w:hint="eastAsia"/>
          <w:b w:val="0"/>
          <w:bCs w:val="0"/>
          <w:sz w:val="21"/>
          <w:szCs w:val="21"/>
        </w:rPr>
        <w:t>。企业应当把回</w:t>
      </w:r>
      <w:r>
        <w:rPr>
          <w:rFonts w:asciiTheme="minorEastAsia" w:hAnsiTheme="minorEastAsia" w:cstheme="minorEastAsia" w:hint="eastAsia"/>
          <w:b w:val="0"/>
          <w:bCs w:val="0"/>
          <w:sz w:val="21"/>
          <w:szCs w:val="21"/>
          <w:lang w:val="en-US" w:eastAsia="zh-CN"/>
        </w:rPr>
        <w:t>款责任</w:t>
      </w:r>
      <w:r>
        <w:rPr>
          <w:rFonts w:asciiTheme="minorEastAsia" w:eastAsiaTheme="minorEastAsia" w:hAnsiTheme="minorEastAsia" w:cstheme="minorEastAsia" w:hint="eastAsia"/>
          <w:b w:val="0"/>
          <w:bCs w:val="0"/>
          <w:sz w:val="21"/>
          <w:szCs w:val="21"/>
        </w:rPr>
        <w:t>落实到具体的岗位上，市场人员对合同付款条件负责，工程人员对过程计量和结算资料负责，项目负责人对所负责的应收账款承担最后的清收责任，从签约到收款形成一个闭环的责任链条。考核上设置合同付款条件评审、过程结算及时率等前置指标，把风险控制在承接阶段而不是坏账产生之后再去补救。依靠信息化系统打通业务和财务数据，将合同、产值、回款、库存信息整合到同一个考核平台，数据实时归集，责任自动关联，降低人工估价、事后算账的情况出现。业财协同也表现在考核信息共享上，业务部门和财务部门使用同样的口径来衡量业绩，杜绝各自为政、互相推卸责任的情况发生，使回款责任落实到每一个项目运作的环节里。</w:t>
      </w:r>
    </w:p>
    <w:p w14:paraId="31B325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表2业财协同下回款责任链考核要点示意</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074"/>
        <w:gridCol w:w="3741"/>
        <w:gridCol w:w="1616"/>
        <w:gridCol w:w="2091"/>
      </w:tblGrid>
      <w:tr w14:paraId="609FEBCD">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074" w:type="dxa"/>
            <w:vAlign w:val="center"/>
          </w:tcPr>
          <w:p w14:paraId="46EE25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责任环节</w:t>
            </w:r>
          </w:p>
        </w:tc>
        <w:tc>
          <w:tcPr>
            <w:tcW w:w="3741" w:type="dxa"/>
            <w:vAlign w:val="center"/>
          </w:tcPr>
          <w:p w14:paraId="3186FA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考核指标</w:t>
            </w:r>
          </w:p>
        </w:tc>
        <w:tc>
          <w:tcPr>
            <w:tcW w:w="1616" w:type="dxa"/>
            <w:vAlign w:val="center"/>
          </w:tcPr>
          <w:p w14:paraId="32CB2F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责任主体</w:t>
            </w:r>
          </w:p>
        </w:tc>
        <w:tc>
          <w:tcPr>
            <w:tcW w:w="2091" w:type="dxa"/>
            <w:vAlign w:val="center"/>
          </w:tcPr>
          <w:p w14:paraId="46EBC5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与两金压降的关联</w:t>
            </w:r>
          </w:p>
        </w:tc>
      </w:tr>
      <w:tr w14:paraId="7F137332">
        <w:tblPrEx>
          <w:tblW w:w="0" w:type="auto"/>
          <w:tblInd w:w="0" w:type="dxa"/>
          <w:tblCellMar>
            <w:top w:w="0" w:type="dxa"/>
            <w:left w:w="108" w:type="dxa"/>
            <w:bottom w:w="0" w:type="dxa"/>
            <w:right w:w="108" w:type="dxa"/>
          </w:tblCellMar>
        </w:tblPrEx>
        <w:tc>
          <w:tcPr>
            <w:tcW w:w="1074" w:type="dxa"/>
            <w:vAlign w:val="center"/>
          </w:tcPr>
          <w:p w14:paraId="2AAE10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合同承接</w:t>
            </w:r>
          </w:p>
        </w:tc>
        <w:tc>
          <w:tcPr>
            <w:tcW w:w="3741" w:type="dxa"/>
            <w:vAlign w:val="center"/>
          </w:tcPr>
          <w:p w14:paraId="1233CB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合同付款条件评审通过率、预收款比例</w:t>
            </w:r>
          </w:p>
        </w:tc>
        <w:tc>
          <w:tcPr>
            <w:tcW w:w="1616" w:type="dxa"/>
            <w:vAlign w:val="center"/>
          </w:tcPr>
          <w:p w14:paraId="3472E9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市场部</w:t>
            </w:r>
          </w:p>
        </w:tc>
        <w:tc>
          <w:tcPr>
            <w:tcW w:w="2091" w:type="dxa"/>
            <w:vAlign w:val="center"/>
          </w:tcPr>
          <w:p w14:paraId="13ECCA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从源头控制新增欠款</w:t>
            </w:r>
          </w:p>
        </w:tc>
      </w:tr>
      <w:tr w14:paraId="331098FA">
        <w:tblPrEx>
          <w:tblW w:w="0" w:type="auto"/>
          <w:tblInd w:w="0" w:type="dxa"/>
          <w:tblCellMar>
            <w:top w:w="0" w:type="dxa"/>
            <w:left w:w="108" w:type="dxa"/>
            <w:bottom w:w="0" w:type="dxa"/>
            <w:right w:w="108" w:type="dxa"/>
          </w:tblCellMar>
        </w:tblPrEx>
        <w:tc>
          <w:tcPr>
            <w:tcW w:w="1074" w:type="dxa"/>
            <w:vAlign w:val="center"/>
          </w:tcPr>
          <w:p w14:paraId="4F7943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过程履约</w:t>
            </w:r>
          </w:p>
        </w:tc>
        <w:tc>
          <w:tcPr>
            <w:tcW w:w="3741" w:type="dxa"/>
            <w:vAlign w:val="center"/>
          </w:tcPr>
          <w:p w14:paraId="16A643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过程计量确认及时率、结算资料完备率</w:t>
            </w:r>
          </w:p>
        </w:tc>
        <w:tc>
          <w:tcPr>
            <w:tcW w:w="1616" w:type="dxa"/>
            <w:vAlign w:val="center"/>
          </w:tcPr>
          <w:p w14:paraId="4A59EA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工程部</w:t>
            </w:r>
          </w:p>
        </w:tc>
        <w:tc>
          <w:tcPr>
            <w:tcW w:w="2091" w:type="dxa"/>
            <w:vAlign w:val="center"/>
          </w:tcPr>
          <w:p w14:paraId="5E5C26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加快计量回款进度</w:t>
            </w:r>
          </w:p>
        </w:tc>
      </w:tr>
      <w:tr w14:paraId="53518C26">
        <w:tblPrEx>
          <w:tblW w:w="0" w:type="auto"/>
          <w:tblInd w:w="0" w:type="dxa"/>
          <w:tblCellMar>
            <w:top w:w="0" w:type="dxa"/>
            <w:left w:w="108" w:type="dxa"/>
            <w:bottom w:w="0" w:type="dxa"/>
            <w:right w:w="108" w:type="dxa"/>
          </w:tblCellMar>
        </w:tblPrEx>
        <w:tc>
          <w:tcPr>
            <w:tcW w:w="1074" w:type="dxa"/>
            <w:vAlign w:val="center"/>
          </w:tcPr>
          <w:p w14:paraId="60361D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资金回收</w:t>
            </w:r>
          </w:p>
        </w:tc>
        <w:tc>
          <w:tcPr>
            <w:tcW w:w="3741" w:type="dxa"/>
            <w:vAlign w:val="center"/>
          </w:tcPr>
          <w:p w14:paraId="1064F3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应收账款清收率、账龄结构优化</w:t>
            </w:r>
          </w:p>
        </w:tc>
        <w:tc>
          <w:tcPr>
            <w:tcW w:w="1616" w:type="dxa"/>
            <w:vAlign w:val="center"/>
          </w:tcPr>
          <w:p w14:paraId="7A019C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项目部、财务部</w:t>
            </w:r>
          </w:p>
        </w:tc>
        <w:tc>
          <w:tcPr>
            <w:tcW w:w="2091" w:type="dxa"/>
            <w:vAlign w:val="center"/>
          </w:tcPr>
          <w:p w14:paraId="4D19A4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消化存量欠款</w:t>
            </w:r>
          </w:p>
        </w:tc>
      </w:tr>
      <w:tr w14:paraId="1C809FC7">
        <w:tblPrEx>
          <w:tblW w:w="0" w:type="auto"/>
          <w:tblInd w:w="0" w:type="dxa"/>
          <w:tblCellMar>
            <w:top w:w="0" w:type="dxa"/>
            <w:left w:w="108" w:type="dxa"/>
            <w:bottom w:w="0" w:type="dxa"/>
            <w:right w:w="108" w:type="dxa"/>
          </w:tblCellMar>
        </w:tblPrEx>
        <w:tc>
          <w:tcPr>
            <w:tcW w:w="1074" w:type="dxa"/>
            <w:vAlign w:val="center"/>
          </w:tcPr>
          <w:p w14:paraId="1AFFB5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存货周转</w:t>
            </w:r>
          </w:p>
        </w:tc>
        <w:tc>
          <w:tcPr>
            <w:tcW w:w="3741" w:type="dxa"/>
            <w:vAlign w:val="center"/>
          </w:tcPr>
          <w:p w14:paraId="5A4721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材料到货与施工匹配度、完工结转率</w:t>
            </w:r>
          </w:p>
        </w:tc>
        <w:tc>
          <w:tcPr>
            <w:tcW w:w="1616" w:type="dxa"/>
            <w:vAlign w:val="center"/>
          </w:tcPr>
          <w:p w14:paraId="78CC78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物资部、项目部</w:t>
            </w:r>
          </w:p>
        </w:tc>
        <w:tc>
          <w:tcPr>
            <w:tcW w:w="2091" w:type="dxa"/>
            <w:vAlign w:val="center"/>
          </w:tcPr>
          <w:p w14:paraId="3CE3A7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asciiTheme="minorEastAsia" w:eastAsiaTheme="minorEastAsia" w:hAnsiTheme="minorEastAsia" w:cstheme="minorEastAsia" w:hint="eastAsia"/>
                <w:b w:val="0"/>
                <w:bCs w:val="0"/>
                <w:sz w:val="21"/>
                <w:szCs w:val="21"/>
                <w:vertAlign w:val="baseline"/>
              </w:rPr>
            </w:pPr>
            <w:r>
              <w:rPr>
                <w:rFonts w:asciiTheme="minorEastAsia" w:eastAsiaTheme="minorEastAsia" w:hAnsiTheme="minorEastAsia" w:cstheme="minorEastAsia" w:hint="eastAsia"/>
                <w:b w:val="0"/>
                <w:bCs w:val="0"/>
                <w:caps w:val="0"/>
                <w:spacing w:val="0"/>
                <w:kern w:val="0"/>
                <w:sz w:val="21"/>
                <w:szCs w:val="21"/>
                <w:lang w:val="en-US" w:eastAsia="zh-CN" w:bidi="ar"/>
              </w:rPr>
              <w:t>减少资金沉淀</w:t>
            </w:r>
          </w:p>
        </w:tc>
      </w:tr>
    </w:tbl>
    <w:p w14:paraId="338CB9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（四）健全激励约束，打通考核与薪酬分配联动</w:t>
      </w:r>
    </w:p>
    <w:p w14:paraId="57552C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指标设计得再合理，如果考核结果和切身利益没有挂钩，压降导向就永远不能落到实处，让两金压降真正成为基层的主动行为，其核心在于把考核的刚性传导到薪酬分配和人事评价当中。一是提高两金考核的刚性约束，将压降指标作为否决项或者高分项，对达不到压降指标的单位实行一票否决，杜绝考核后无影响的软约束；二是把两金压降的结果直接折算成绩效薪酬，压降效果好的予以专项奖励，压降效果差的扣减绩效并追究相关责任，奖优罚劣的差距要拉开，形成明显的激励导向；三是建立考核与激励相衔接的长效激励制度，以项目团队回款质量、资金效率为标准，与团队留任、晋升、荣誉挂钩，把压降成果作为衡量干部业绩的尺度；四是健全申诉与纠正机制，对由于客观原因造成两金超标的，留有适当的申诉渠道，避免一刀切的误伤正常经</w:t>
      </w:r>
      <w:r>
        <w:rPr>
          <w:rFonts w:asciiTheme="minorEastAsia" w:hAnsiTheme="minorEastAsia" w:cstheme="minorEastAsia" w:hint="eastAsia"/>
          <w:b w:val="0"/>
          <w:bCs w:val="0"/>
          <w:sz w:val="21"/>
          <w:szCs w:val="21"/>
          <w:lang w:val="en-US" w:eastAsia="zh-CN"/>
        </w:rPr>
        <w:t>营。</w:t>
      </w:r>
      <w:r>
        <w:rPr>
          <w:rFonts w:asciiTheme="minorEastAsia" w:eastAsiaTheme="minorEastAsia" w:hAnsiTheme="minorEastAsia" w:cstheme="minorEastAsia" w:hint="eastAsia"/>
          <w:b w:val="0"/>
          <w:bCs w:val="0"/>
          <w:sz w:val="21"/>
          <w:szCs w:val="21"/>
        </w:rPr>
        <w:t>通过考核结果同薪酬、晋升、荣誉的全方位联动，使压降责任由制度要求变成每一个员工内在的自觉行为，使两金的管控有稳定的制度支撑。</w:t>
      </w:r>
    </w:p>
    <w:p w14:paraId="1AFB2A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结语</w:t>
      </w:r>
    </w:p>
    <w:p w14:paraId="2A92E9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color w:val="FF0000"/>
          <w:sz w:val="21"/>
          <w:szCs w:val="21"/>
          <w:lang w:eastAsia="zh-CN"/>
        </w:rPr>
      </w:pPr>
      <w:r>
        <w:rPr>
          <w:rFonts w:asciiTheme="minorEastAsia" w:eastAsiaTheme="minorEastAsia" w:hAnsiTheme="minorEastAsia" w:cstheme="minorEastAsia" w:hint="eastAsia"/>
          <w:b w:val="0"/>
          <w:bCs w:val="0"/>
          <w:sz w:val="21"/>
          <w:szCs w:val="21"/>
        </w:rPr>
        <w:t>两金压降与建筑企业现金流的安全、经营质量有直接的关系，也是建筑企业绩效考核中最有力量的一根杠杆。本文从两金压降导向出发，分析了目前考核指标在权重、口径、衔接和责任上存在的失衡现象，提出了从指标组合、存量增量分拆、业财联动和激励约束四个方面进行统筹优化的思路，给出了具体的指标设置示意图。考核指标的统筹优化不是一朝一夕可以完成的，在企业发展的过程中必须不断地根据实际情况对口径进行调整、对权重进行调整，保证考核的指挥棒始终和两金管控的目标同向。只有把压降导向落实到考核的各个环节中，建筑企业才能在规模扩张和资金安全之间找到一个平衡点，由粗放式增长向高质量发展转变。</w:t>
      </w:r>
    </w:p>
    <w:p w14:paraId="4B486E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lang w:val="en-US" w:eastAsia="zh-CN"/>
        </w:rPr>
      </w:pPr>
      <w:r>
        <w:rPr>
          <w:rFonts w:asciiTheme="minorEastAsia" w:eastAsiaTheme="minorEastAsia" w:hAnsiTheme="minorEastAsia" w:cstheme="minorEastAsia" w:hint="eastAsia"/>
          <w:b w:val="0"/>
          <w:bCs w:val="0"/>
          <w:sz w:val="21"/>
          <w:szCs w:val="21"/>
          <w:lang w:val="en-US" w:eastAsia="zh-CN"/>
        </w:rPr>
        <w:t>参考文献：</w:t>
      </w:r>
    </w:p>
    <w:p w14:paraId="76CCA6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lang w:val="en-US" w:eastAsia="zh-CN"/>
        </w:rPr>
      </w:pPr>
      <w:r>
        <w:rPr>
          <w:rFonts w:asciiTheme="minorEastAsia" w:eastAsiaTheme="minorEastAsia" w:hAnsiTheme="minorEastAsia" w:cstheme="minorEastAsia" w:hint="eastAsia"/>
          <w:b w:val="0"/>
          <w:bCs w:val="0"/>
          <w:sz w:val="21"/>
          <w:szCs w:val="21"/>
          <w:lang w:val="en-US" w:eastAsia="zh-CN"/>
        </w:rPr>
        <w:t>[1]吴玉娟.建筑施工企业“两金”压降面临的困境及对策[J].中国管理信息化,2026,29(12):92-94.</w:t>
      </w:r>
    </w:p>
    <w:p w14:paraId="477491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lang w:val="en-US" w:eastAsia="zh-CN"/>
        </w:rPr>
      </w:pPr>
      <w:r>
        <w:rPr>
          <w:rFonts w:asciiTheme="minorEastAsia" w:eastAsiaTheme="minorEastAsia" w:hAnsiTheme="minorEastAsia" w:cstheme="minorEastAsia" w:hint="eastAsia"/>
          <w:b w:val="0"/>
          <w:bCs w:val="0"/>
          <w:sz w:val="21"/>
          <w:szCs w:val="21"/>
          <w:lang w:val="en-US" w:eastAsia="zh-CN"/>
        </w:rPr>
        <w:t>[2]苑丰.建筑施工企业“资金集中”与“两金”压降的协同管理[J].国际商务财会,2026,(11):48-51.</w:t>
      </w:r>
    </w:p>
    <w:p w14:paraId="62D01E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lang w:val="en-US" w:eastAsia="zh-CN"/>
        </w:rPr>
      </w:pPr>
      <w:r>
        <w:rPr>
          <w:rFonts w:asciiTheme="minorEastAsia" w:eastAsiaTheme="minorEastAsia" w:hAnsiTheme="minorEastAsia" w:cstheme="minorEastAsia" w:hint="eastAsia"/>
          <w:b w:val="0"/>
          <w:bCs w:val="0"/>
          <w:sz w:val="21"/>
          <w:szCs w:val="21"/>
          <w:lang w:val="en-US" w:eastAsia="zh-CN"/>
        </w:rPr>
        <w:t>[3]王教贵.聚焦建筑企业两金压降盘活企业现金流[J].中国商界,2026,(10):62-63.</w:t>
      </w:r>
    </w:p>
    <w:p w14:paraId="483520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lang w:val="en-US" w:eastAsia="zh-CN"/>
        </w:rPr>
      </w:pPr>
      <w:r>
        <w:rPr>
          <w:rFonts w:asciiTheme="minorEastAsia" w:eastAsiaTheme="minorEastAsia" w:hAnsiTheme="minorEastAsia" w:cstheme="minorEastAsia" w:hint="eastAsia"/>
          <w:b w:val="0"/>
          <w:bCs w:val="0"/>
          <w:sz w:val="21"/>
          <w:szCs w:val="21"/>
          <w:lang w:val="en-US" w:eastAsia="zh-CN"/>
        </w:rPr>
        <w:t>[4]汪柏华.建筑企业“两金”压降及逾期应收账款管理的策略探讨[J].市场瞭望,2025,(8):148-150.</w:t>
      </w:r>
    </w:p>
    <w:p w14:paraId="104E60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sz w:val="21"/>
          <w:szCs w:val="21"/>
          <w:lang w:val="en-US" w:eastAsia="zh-CN"/>
        </w:rPr>
      </w:pPr>
      <w:r>
        <w:rPr>
          <w:rFonts w:asciiTheme="minorEastAsia" w:eastAsiaTheme="minorEastAsia" w:hAnsiTheme="minorEastAsia" w:cstheme="minorEastAsia" w:hint="eastAsia"/>
          <w:b w:val="0"/>
          <w:bCs w:val="0"/>
          <w:sz w:val="21"/>
          <w:szCs w:val="21"/>
          <w:lang w:val="en-US" w:eastAsia="zh-CN"/>
        </w:rPr>
        <w:t>[5]施婷.国有企业控制“两金”压降的实施措施[J].商业2.0,2024,(32):60-62.</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8411833"/>
    <w:rsid w:val="229A66EA"/>
    <w:rsid w:val="31333307"/>
    <w:rsid w:val="38D83FB2"/>
    <w:rsid w:val="49B760FE"/>
    <w:rsid w:val="49EA286C"/>
    <w:rsid w:val="52D222AC"/>
    <w:rsid w:val="5A101BB2"/>
    <w:rsid w:val="627564F3"/>
    <w:rsid w:val="695B6068"/>
    <w:rsid w:val="69E076FA"/>
    <w:rsid w:val="75D5092A"/>
    <w:rsid w:val="7D4200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3</TotalTime>
  <Pages>4</Pages>
  <Words>1114</Words>
  <Characters>1118</Characters>
  <Application>Microsoft Office Word</Application>
  <DocSecurity>0</DocSecurity>
  <Lines>0</Lines>
  <Paragraphs>0</Paragraphs>
  <ScaleCrop>false</ScaleCrop>
  <Company/>
  <LinksUpToDate>false</LinksUpToDate>
  <CharactersWithSpaces>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2026-11-04T02:20:24Z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