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87DDF91">
      <w:pPr>
        <w:keepNext w:val="0"/>
        <w:keepLines w:val="0"/>
        <w:pageBreakBefore w:val="0"/>
        <w:widowControl w:val="0"/>
        <w:pBdr>
          <w:top w:val="none" w:sz="0" w:space="0" w:color="auto"/>
          <w:left w:val="none" w:sz="0" w:space="0" w:color="auto"/>
          <w:bottom w:val="none" w:sz="0" w:space="0" w:color="auto"/>
          <w:right w:val="none" w:sz="0" w:space="0" w:color="auto"/>
          <w:between w:val="none" w:sz="0" w:space="0" w:color="auto"/>
        </w:pBdr>
        <w:kinsoku/>
        <w:wordWrap/>
        <w:overflowPunct/>
        <w:topLinePunct w:val="0"/>
        <w:autoSpaceDE/>
        <w:autoSpaceDN/>
        <w:bidi w:val="0"/>
        <w:adjustRightInd/>
        <w:snapToGrid/>
        <w:spacing w:line="600" w:lineRule="exact"/>
        <w:ind w:firstLine="420" w:firstLineChars="200"/>
        <w:jc w:val="both"/>
        <w:textAlignment w:val="auto"/>
        <w:rPr>
          <w:rFonts w:asciiTheme="minorEastAsia" w:eastAsiaTheme="minorEastAsia" w:hAnsiTheme="minorEastAsia" w:cstheme="minorEastAsia" w:hint="eastAsia"/>
          <w:b w:val="0"/>
          <w:bCs w:val="0"/>
          <w:sz w:val="21"/>
          <w:szCs w:val="21"/>
          <w:vertAlign w:val="baseline"/>
          <w:lang w:val="en-US" w:eastAsia="zh-CN"/>
        </w:rPr>
      </w:pPr>
      <w:r>
        <w:rPr>
          <w:rFonts w:asciiTheme="minorEastAsia" w:eastAsiaTheme="minorEastAsia" w:hAnsiTheme="minorEastAsia" w:cstheme="minorEastAsia" w:hint="eastAsia"/>
          <w:b/>
          <w:bCs/>
          <w:sz w:val="21"/>
          <w:szCs w:val="21"/>
          <w:vertAlign w:val="baseline"/>
          <w:lang w:val="en-US" w:eastAsia="zh-CN"/>
        </w:rPr>
        <w:t>摘要</w:t>
      </w:r>
      <w:r>
        <w:rPr>
          <w:rFonts w:asciiTheme="minorEastAsia" w:eastAsiaTheme="minorEastAsia" w:hAnsiTheme="minorEastAsia" w:cstheme="minorEastAsia" w:hint="eastAsia"/>
          <w:b w:val="0"/>
          <w:bCs w:val="0"/>
          <w:sz w:val="21"/>
          <w:szCs w:val="21"/>
          <w:vertAlign w:val="baseline"/>
          <w:lang w:val="en-US" w:eastAsia="zh-CN"/>
        </w:rPr>
        <w:t>：</w:t>
      </w:r>
      <w:r>
        <w:rPr>
          <w:rFonts w:ascii="Times New Roman" w:hAnsi="Times New Roman" w:eastAsiaTheme="minorEastAsia" w:cs="Times New Roman" w:hint="default"/>
          <w:b w:val="0"/>
          <w:bCs w:val="0"/>
          <w:sz w:val="21"/>
          <w:szCs w:val="21"/>
          <w:lang w:val="en-US" w:eastAsia="zh-CN"/>
        </w:rPr>
        <w:t>统编版六年级上册的语文教材是</w:t>
      </w:r>
      <w:r>
        <w:rPr>
          <w:rFonts w:ascii="Times New Roman" w:hAnsi="Times New Roman" w:cs="Times New Roman" w:hint="eastAsia"/>
          <w:b w:val="0"/>
          <w:bCs w:val="0"/>
          <w:sz w:val="21"/>
          <w:szCs w:val="21"/>
          <w:lang w:val="en-US" w:eastAsia="zh-CN"/>
        </w:rPr>
        <w:t>以阅</w:t>
      </w:r>
      <w:r>
        <w:rPr>
          <w:rFonts w:ascii="Times New Roman" w:hAnsi="Times New Roman" w:eastAsiaTheme="minorEastAsia" w:cs="Times New Roman" w:hint="default"/>
          <w:b w:val="0"/>
          <w:bCs w:val="0"/>
          <w:sz w:val="21"/>
          <w:szCs w:val="21"/>
          <w:lang w:val="en-US" w:eastAsia="zh-CN"/>
        </w:rPr>
        <w:t>读策略和人</w:t>
      </w:r>
      <w:r>
        <w:rPr>
          <w:rFonts w:ascii="Times New Roman" w:hAnsi="Times New Roman" w:cs="Times New Roman" w:hint="eastAsia"/>
          <w:b w:val="0"/>
          <w:bCs w:val="0"/>
          <w:sz w:val="21"/>
          <w:szCs w:val="21"/>
          <w:lang w:val="en-US" w:eastAsia="zh-CN"/>
        </w:rPr>
        <w:t>文主</w:t>
      </w:r>
      <w:r>
        <w:rPr>
          <w:rFonts w:ascii="Times New Roman" w:hAnsi="Times New Roman" w:eastAsiaTheme="minorEastAsia" w:cs="Times New Roman" w:hint="default"/>
          <w:b w:val="0"/>
          <w:bCs w:val="0"/>
          <w:sz w:val="21"/>
          <w:szCs w:val="21"/>
          <w:lang w:val="en-US" w:eastAsia="zh-CN"/>
        </w:rPr>
        <w:t>题两</w:t>
      </w:r>
      <w:r>
        <w:rPr>
          <w:rFonts w:ascii="Times New Roman" w:hAnsi="Times New Roman" w:cs="Times New Roman" w:hint="eastAsia"/>
          <w:b w:val="0"/>
          <w:bCs w:val="0"/>
          <w:sz w:val="21"/>
          <w:szCs w:val="21"/>
          <w:lang w:val="en-US" w:eastAsia="zh-CN"/>
        </w:rPr>
        <w:t>条线</w:t>
      </w:r>
      <w:r>
        <w:rPr>
          <w:rFonts w:ascii="Times New Roman" w:hAnsi="Times New Roman" w:eastAsiaTheme="minorEastAsia" w:cs="Times New Roman" w:hint="default"/>
          <w:b w:val="0"/>
          <w:bCs w:val="0"/>
          <w:sz w:val="21"/>
          <w:szCs w:val="21"/>
          <w:lang w:val="en-US" w:eastAsia="zh-CN"/>
        </w:rPr>
        <w:t>索一起展</w:t>
      </w:r>
      <w:r>
        <w:rPr>
          <w:rFonts w:ascii="Times New Roman" w:hAnsi="Times New Roman" w:cs="Times New Roman" w:hint="eastAsia"/>
          <w:b w:val="0"/>
          <w:bCs w:val="0"/>
          <w:sz w:val="21"/>
          <w:szCs w:val="21"/>
          <w:lang w:val="en-US" w:eastAsia="zh-CN"/>
        </w:rPr>
        <w:t>开</w:t>
      </w:r>
      <w:r>
        <w:rPr>
          <w:rFonts w:ascii="Times New Roman" w:hAnsi="Times New Roman" w:eastAsiaTheme="minorEastAsia" w:cs="Times New Roman" w:hint="default"/>
          <w:b w:val="0"/>
          <w:bCs w:val="0"/>
          <w:sz w:val="21"/>
          <w:szCs w:val="21"/>
          <w:lang w:val="en-US" w:eastAsia="zh-CN"/>
        </w:rPr>
        <w:t>的，对学生自主阅读的能力提出了更高的标准。但是学生在日常学习中存在阅读资源选择无依据、阅读过程无监控、阅读方法迁移困难的现象。以国家中小学智慧教育平台为数字底座，选择国家中小学智慧教育平台六年级上册的</w:t>
      </w:r>
      <w:r>
        <w:rPr>
          <w:rFonts w:ascii="Times New Roman" w:hAnsi="Times New Roman" w:cs="Times New Roman" w:hint="eastAsia"/>
          <w:b w:val="0"/>
          <w:bCs w:val="0"/>
          <w:sz w:val="21"/>
          <w:szCs w:val="21"/>
          <w:lang w:val="en-US" w:eastAsia="zh-CN"/>
        </w:rPr>
        <w:t>“</w:t>
      </w:r>
      <w:r>
        <w:rPr>
          <w:rFonts w:ascii="Times New Roman" w:hAnsi="Times New Roman" w:eastAsiaTheme="minorEastAsia" w:cs="Times New Roman" w:hint="default"/>
          <w:b w:val="0"/>
          <w:bCs w:val="0"/>
          <w:sz w:val="21"/>
          <w:szCs w:val="21"/>
          <w:lang w:val="en-US" w:eastAsia="zh-CN"/>
        </w:rPr>
        <w:t>有目的地阅读</w:t>
      </w:r>
      <w:r>
        <w:rPr>
          <w:rFonts w:ascii="Times New Roman" w:hAnsi="Times New Roman" w:cs="Times New Roman" w:hint="eastAsia"/>
          <w:b w:val="0"/>
          <w:bCs w:val="0"/>
          <w:sz w:val="21"/>
          <w:szCs w:val="21"/>
          <w:lang w:val="en-US" w:eastAsia="zh-CN"/>
        </w:rPr>
        <w:t>”</w:t>
      </w:r>
      <w:r>
        <w:rPr>
          <w:rFonts w:ascii="Times New Roman" w:hAnsi="Times New Roman" w:eastAsiaTheme="minorEastAsia" w:cs="Times New Roman" w:hint="default"/>
          <w:b w:val="0"/>
          <w:bCs w:val="0"/>
          <w:sz w:val="21"/>
          <w:szCs w:val="21"/>
          <w:lang w:val="en-US" w:eastAsia="zh-CN"/>
        </w:rPr>
        <w:t>策略单元和</w:t>
      </w:r>
      <w:r>
        <w:rPr>
          <w:rFonts w:ascii="Times New Roman" w:hAnsi="Times New Roman" w:cs="Times New Roman" w:hint="eastAsia"/>
          <w:b w:val="0"/>
          <w:bCs w:val="0"/>
          <w:sz w:val="21"/>
          <w:szCs w:val="21"/>
          <w:lang w:val="en-US" w:eastAsia="zh-CN"/>
        </w:rPr>
        <w:t>“</w:t>
      </w:r>
      <w:r>
        <w:rPr>
          <w:rFonts w:ascii="Times New Roman" w:hAnsi="Times New Roman" w:eastAsiaTheme="minorEastAsia" w:cs="Times New Roman" w:hint="default"/>
          <w:b w:val="0"/>
          <w:bCs w:val="0"/>
          <w:sz w:val="21"/>
          <w:szCs w:val="21"/>
          <w:lang w:val="en-US" w:eastAsia="zh-CN"/>
        </w:rPr>
        <w:t>快乐读书吧</w:t>
      </w:r>
      <w:r>
        <w:rPr>
          <w:rFonts w:ascii="Times New Roman" w:hAnsi="Times New Roman" w:cs="Times New Roman" w:hint="eastAsia"/>
          <w:b w:val="0"/>
          <w:bCs w:val="0"/>
          <w:sz w:val="21"/>
          <w:szCs w:val="21"/>
          <w:lang w:val="en-US" w:eastAsia="zh-CN"/>
        </w:rPr>
        <w:t>”</w:t>
      </w:r>
      <w:r>
        <w:rPr>
          <w:rFonts w:ascii="Times New Roman" w:hAnsi="Times New Roman" w:eastAsiaTheme="minorEastAsia" w:cs="Times New Roman" w:hint="default"/>
          <w:b w:val="0"/>
          <w:bCs w:val="0"/>
          <w:sz w:val="21"/>
          <w:szCs w:val="21"/>
          <w:lang w:val="en-US" w:eastAsia="zh-CN"/>
        </w:rPr>
        <w:t>整本书阅读任务，利用平台课程教学资源、课后服务经典阅读模块和班级群功能创建“课前精</w:t>
      </w:r>
      <w:r>
        <w:rPr>
          <w:rFonts w:ascii="Times New Roman" w:hAnsi="Times New Roman" w:cs="Times New Roman" w:hint="eastAsia"/>
          <w:b w:val="0"/>
          <w:bCs w:val="0"/>
          <w:sz w:val="21"/>
          <w:szCs w:val="21"/>
          <w:lang w:val="en-US" w:eastAsia="zh-CN"/>
        </w:rPr>
        <w:t>准</w:t>
      </w:r>
      <w:r>
        <w:rPr>
          <w:rFonts w:ascii="Times New Roman" w:hAnsi="Times New Roman" w:eastAsiaTheme="minorEastAsia" w:cs="Times New Roman" w:hint="default"/>
          <w:b w:val="0"/>
          <w:bCs w:val="0"/>
          <w:sz w:val="21"/>
          <w:szCs w:val="21"/>
          <w:lang w:val="en-US" w:eastAsia="zh-CN"/>
        </w:rPr>
        <w:t>定向—课中策略支架—课后社群共读”的自主</w:t>
      </w:r>
      <w:r>
        <w:rPr>
          <w:rFonts w:ascii="Times New Roman" w:hAnsi="Times New Roman" w:cs="Times New Roman" w:hint="eastAsia"/>
          <w:b w:val="0"/>
          <w:bCs w:val="0"/>
          <w:sz w:val="21"/>
          <w:szCs w:val="21"/>
          <w:lang w:val="en-US" w:eastAsia="zh-CN"/>
        </w:rPr>
        <w:t>阅</w:t>
      </w:r>
      <w:r>
        <w:rPr>
          <w:rFonts w:ascii="Times New Roman" w:hAnsi="Times New Roman" w:eastAsiaTheme="minorEastAsia" w:cs="Times New Roman" w:hint="default"/>
          <w:b w:val="0"/>
          <w:bCs w:val="0"/>
          <w:sz w:val="21"/>
          <w:szCs w:val="21"/>
          <w:lang w:val="en-US" w:eastAsia="zh-CN"/>
        </w:rPr>
        <w:t>读培育路径。将平台名师微课切片融入到策略指导之中，以平台任务单、课后练习的数据来诊断学情，以班级群的形式维持阅读打卡、分享活动，较好地解决了学生“读什么、如何</w:t>
      </w:r>
      <w:r>
        <w:rPr>
          <w:rFonts w:ascii="Times New Roman" w:hAnsi="Times New Roman" w:cs="Times New Roman" w:hint="eastAsia"/>
          <w:b w:val="0"/>
          <w:bCs w:val="0"/>
          <w:sz w:val="21"/>
          <w:szCs w:val="21"/>
          <w:lang w:val="en-US" w:eastAsia="zh-CN"/>
        </w:rPr>
        <w:t>读</w:t>
      </w:r>
      <w:r>
        <w:rPr>
          <w:rFonts w:ascii="Times New Roman" w:hAnsi="Times New Roman" w:eastAsiaTheme="minorEastAsia" w:cs="Times New Roman" w:hint="default"/>
          <w:b w:val="0"/>
          <w:bCs w:val="0"/>
          <w:sz w:val="21"/>
          <w:szCs w:val="21"/>
          <w:lang w:val="en-US" w:eastAsia="zh-CN"/>
        </w:rPr>
        <w:t>、读得怎样”这条链子断裂的</w:t>
      </w:r>
      <w:r>
        <w:rPr>
          <w:rFonts w:ascii="Times New Roman" w:hAnsi="Times New Roman" w:cs="Times New Roman" w:hint="eastAsia"/>
          <w:b w:val="0"/>
          <w:bCs w:val="0"/>
          <w:sz w:val="21"/>
          <w:szCs w:val="21"/>
          <w:lang w:val="en-US" w:eastAsia="zh-CN"/>
        </w:rPr>
        <w:t>问</w:t>
      </w:r>
      <w:r>
        <w:rPr>
          <w:rFonts w:ascii="Times New Roman" w:hAnsi="Times New Roman" w:eastAsiaTheme="minorEastAsia" w:cs="Times New Roman" w:hint="default"/>
          <w:b w:val="0"/>
          <w:bCs w:val="0"/>
          <w:sz w:val="21"/>
          <w:szCs w:val="21"/>
          <w:lang w:val="en-US" w:eastAsia="zh-CN"/>
        </w:rPr>
        <w:t>题。经过实践可知，本路径很好地提高了学生使用阅读策略的自觉性，也提高了学生整本书阅读的完成度</w:t>
      </w:r>
      <w:r>
        <w:rPr>
          <w:rFonts w:ascii="Times New Roman" w:hAnsi="Times New Roman" w:cs="Times New Roman" w:hint="eastAsia"/>
          <w:b w:val="0"/>
          <w:bCs w:val="0"/>
          <w:sz w:val="21"/>
          <w:szCs w:val="21"/>
          <w:lang w:val="en-US" w:eastAsia="zh-CN"/>
        </w:rPr>
        <w:t>。</w:t>
      </w:r>
    </w:p>
    <w:p w14:paraId="52C4F94C">
      <w:pPr>
        <w:pBdr>
          <w:top w:val="none" w:sz="0" w:space="0" w:color="auto"/>
          <w:left w:val="none" w:sz="0" w:space="0" w:color="auto"/>
          <w:bottom w:val="none" w:sz="0" w:space="0" w:color="auto"/>
          <w:right w:val="none" w:sz="0" w:space="0" w:color="auto"/>
          <w:between w:val="none" w:sz="0" w:space="0" w:color="auto"/>
        </w:pBdr>
        <w:spacing w:line="600" w:lineRule="exact"/>
        <w:ind w:firstLine="420" w:firstLineChars="200"/>
        <w:jc w:val="both"/>
        <w:rPr>
          <w:rFonts w:asciiTheme="minorEastAsia" w:eastAsiaTheme="minorEastAsia" w:hAnsiTheme="minorEastAsia" w:cstheme="minorEastAsia" w:hint="eastAsia"/>
          <w:b w:val="0"/>
          <w:bCs w:val="0"/>
          <w:sz w:val="21"/>
          <w:szCs w:val="21"/>
          <w:vertAlign w:val="baseline"/>
          <w:lang w:val="en-US" w:eastAsia="zh-CN"/>
        </w:rPr>
      </w:pPr>
      <w:r>
        <w:rPr>
          <w:rFonts w:asciiTheme="minorEastAsia" w:eastAsiaTheme="minorEastAsia" w:hAnsiTheme="minorEastAsia" w:cstheme="minorEastAsia" w:hint="eastAsia"/>
          <w:b/>
          <w:bCs/>
          <w:sz w:val="21"/>
          <w:szCs w:val="21"/>
          <w:vertAlign w:val="baseline"/>
          <w:lang w:val="en-US" w:eastAsia="zh-CN"/>
        </w:rPr>
        <w:t>关键词</w:t>
      </w:r>
      <w:r>
        <w:rPr>
          <w:rFonts w:asciiTheme="minorEastAsia" w:eastAsiaTheme="minorEastAsia" w:hAnsiTheme="minorEastAsia" w:cstheme="minorEastAsia" w:hint="eastAsia"/>
          <w:b w:val="0"/>
          <w:bCs w:val="0"/>
          <w:sz w:val="21"/>
          <w:szCs w:val="21"/>
          <w:vertAlign w:val="baseline"/>
          <w:lang w:val="en-US" w:eastAsia="zh-CN"/>
        </w:rPr>
        <w:t>：</w:t>
      </w:r>
      <w:r>
        <w:rPr>
          <w:rFonts w:asciiTheme="minorEastAsia" w:eastAsiaTheme="minorEastAsia" w:hAnsiTheme="minorEastAsia" w:cstheme="minorEastAsia" w:hint="eastAsia"/>
          <w:b w:val="0"/>
          <w:bCs w:val="0"/>
          <w:sz w:val="21"/>
          <w:szCs w:val="21"/>
        </w:rPr>
        <w:t>国家中小学智慧教育平台；自主阅读；六年级语文；阅读策略</w:t>
      </w:r>
    </w:p>
    <w:p w14:paraId="5B525E3A">
      <w:pPr>
        <w:pBdr>
          <w:top w:val="none" w:sz="0" w:space="0" w:color="auto"/>
          <w:left w:val="none" w:sz="0" w:space="0" w:color="auto"/>
          <w:bottom w:val="none" w:sz="0" w:space="0" w:color="auto"/>
          <w:right w:val="none" w:sz="0" w:space="0" w:color="auto"/>
          <w:between w:val="none" w:sz="0" w:space="0" w:color="auto"/>
        </w:pBdr>
        <w:spacing w:line="600" w:lineRule="exact"/>
        <w:ind w:firstLine="420" w:firstLineChars="200"/>
        <w:jc w:val="both"/>
        <w:rPr>
          <w:rFonts w:asciiTheme="minorEastAsia" w:eastAsiaTheme="minorEastAsia" w:hAnsiTheme="minorEastAsia" w:cstheme="minorEastAsia" w:hint="eastAsia"/>
          <w:b w:val="0"/>
          <w:bCs w:val="0"/>
          <w:sz w:val="21"/>
          <w:szCs w:val="21"/>
          <w:vertAlign w:val="baseline"/>
          <w:lang w:val="en-US" w:eastAsia="zh-CN"/>
        </w:rPr>
      </w:pPr>
      <w:r>
        <w:rPr>
          <w:rFonts w:asciiTheme="minorEastAsia" w:eastAsiaTheme="minorEastAsia" w:hAnsiTheme="minorEastAsia" w:cstheme="minorEastAsia" w:hint="eastAsia"/>
          <w:b w:val="0"/>
          <w:bCs w:val="0"/>
          <w:sz w:val="21"/>
          <w:szCs w:val="21"/>
          <w:vertAlign w:val="baseline"/>
          <w:lang w:val="en-US" w:eastAsia="zh-CN"/>
        </w:rPr>
        <w:t>一、引言</w:t>
      </w:r>
    </w:p>
    <w:p w14:paraId="787FBFA8">
      <w:pPr>
        <w:pBdr>
          <w:top w:val="none" w:sz="0" w:space="0" w:color="auto"/>
          <w:left w:val="none" w:sz="0" w:space="0" w:color="auto"/>
          <w:bottom w:val="none" w:sz="0" w:space="0" w:color="auto"/>
          <w:right w:val="none" w:sz="0" w:space="0" w:color="auto"/>
          <w:between w:val="none" w:sz="0" w:space="0" w:color="auto"/>
        </w:pBdr>
        <w:spacing w:line="600" w:lineRule="exact"/>
        <w:ind w:firstLine="420" w:firstLineChars="200"/>
        <w:jc w:val="both"/>
        <w:rPr>
          <w:rFonts w:asciiTheme="minorEastAsia" w:eastAsiaTheme="minorEastAsia" w:hAnsiTheme="minorEastAsia" w:cstheme="minorEastAsia" w:hint="eastAsia"/>
          <w:b w:val="0"/>
          <w:bCs w:val="0"/>
          <w:sz w:val="21"/>
          <w:szCs w:val="21"/>
          <w:vertAlign w:val="baseline"/>
          <w:lang w:val="en-US" w:eastAsia="zh-CN"/>
        </w:rPr>
      </w:pPr>
      <w:r>
        <w:rPr>
          <w:rFonts w:asciiTheme="minorEastAsia" w:eastAsiaTheme="minorEastAsia" w:hAnsiTheme="minorEastAsia" w:cstheme="minorEastAsia" w:hint="eastAsia"/>
          <w:b w:val="0"/>
          <w:bCs w:val="0"/>
          <w:sz w:val="21"/>
          <w:szCs w:val="21"/>
          <w:vertAlign w:val="baseline"/>
          <w:lang w:val="en-US" w:eastAsia="zh-CN"/>
        </w:rPr>
        <w:t>六年级的学生正处在</w:t>
      </w:r>
      <w:r>
        <w:rPr>
          <w:rFonts w:asciiTheme="minorEastAsia" w:hAnsiTheme="minorEastAsia" w:cstheme="minorEastAsia" w:hint="eastAsia"/>
          <w:b w:val="0"/>
          <w:bCs w:val="0"/>
          <w:sz w:val="21"/>
          <w:szCs w:val="21"/>
          <w:vertAlign w:val="baseline"/>
          <w:lang w:val="en-US" w:eastAsia="zh-CN"/>
        </w:rPr>
        <w:t>由</w:t>
      </w:r>
      <w:r>
        <w:rPr>
          <w:rFonts w:asciiTheme="minorEastAsia" w:eastAsiaTheme="minorEastAsia" w:hAnsiTheme="minorEastAsia" w:cstheme="minorEastAsia" w:hint="eastAsia"/>
          <w:b w:val="0"/>
          <w:bCs w:val="0"/>
          <w:sz w:val="21"/>
          <w:szCs w:val="21"/>
          <w:vertAlign w:val="baseline"/>
          <w:lang w:val="en-US" w:eastAsia="zh-CN"/>
        </w:rPr>
        <w:t>“学会阅</w:t>
      </w:r>
      <w:r>
        <w:rPr>
          <w:rFonts w:asciiTheme="minorEastAsia" w:hAnsiTheme="minorEastAsia" w:cstheme="minorEastAsia" w:hint="eastAsia"/>
          <w:b w:val="0"/>
          <w:bCs w:val="0"/>
          <w:sz w:val="21"/>
          <w:szCs w:val="21"/>
          <w:vertAlign w:val="baseline"/>
          <w:lang w:val="en-US" w:eastAsia="zh-CN"/>
        </w:rPr>
        <w:t>读</w:t>
      </w:r>
      <w:r>
        <w:rPr>
          <w:rFonts w:asciiTheme="minorEastAsia" w:eastAsiaTheme="minorEastAsia" w:hAnsiTheme="minorEastAsia" w:cstheme="minorEastAsia" w:hint="eastAsia"/>
          <w:b w:val="0"/>
          <w:bCs w:val="0"/>
          <w:sz w:val="21"/>
          <w:szCs w:val="21"/>
          <w:vertAlign w:val="baseline"/>
          <w:lang w:val="en-US" w:eastAsia="zh-CN"/>
        </w:rPr>
        <w:t>”向“用阅读学习”的过渡时期。义务教育语文课程标准（2022年版）第三学段“阅读与鉴赏”部分提出学习浏览，扩大视野，搜集需要的信息，“尝试使用多种媒介阅读”“整本书阅读，把握整本书的基本内容，积极向同学推荐并说明理由”。课标还把“整本书阅读”作为拓展型学习任务群，重视学生能“根据阅读目的、兴趣来选择合适的书本，制定阅读计划，用多种途径阅读整本书”</w:t>
      </w:r>
      <w:r>
        <w:rPr>
          <w:rFonts w:asciiTheme="minorEastAsia" w:hAnsiTheme="minorEastAsia" w:cstheme="minorEastAsia" w:hint="eastAsia"/>
          <w:b w:val="0"/>
          <w:bCs w:val="0"/>
          <w:sz w:val="21"/>
          <w:szCs w:val="21"/>
          <w:vertAlign w:val="superscript"/>
          <w:lang w:val="en-US" w:eastAsia="zh-CN"/>
        </w:rPr>
        <w:t>[1]</w:t>
      </w:r>
      <w:r>
        <w:rPr>
          <w:rFonts w:asciiTheme="minorEastAsia" w:eastAsiaTheme="minorEastAsia" w:hAnsiTheme="minorEastAsia" w:cstheme="minorEastAsia" w:hint="eastAsia"/>
          <w:b w:val="0"/>
          <w:bCs w:val="0"/>
          <w:sz w:val="21"/>
          <w:szCs w:val="21"/>
          <w:vertAlign w:val="baseline"/>
          <w:lang w:val="en-US" w:eastAsia="zh-CN"/>
        </w:rPr>
        <w:t>。统编版六年级上册第三单元所安排的“有目的地阅读”教学活动，是落实课程要求的一种直接的回应，是自主阅读能力的集中检测和提高。但是它在现实生活中存在着一些障碍。教材所给出的阅读材料较少，学生面对长文本或者整本书的时候缺少可以反复实践的优秀文本。</w:t>
      </w:r>
    </w:p>
    <w:p w14:paraId="64B1283C">
      <w:pPr>
        <w:pBdr>
          <w:top w:val="none" w:sz="0" w:space="0" w:color="auto"/>
          <w:left w:val="none" w:sz="0" w:space="0" w:color="auto"/>
          <w:bottom w:val="none" w:sz="0" w:space="0" w:color="auto"/>
          <w:right w:val="none" w:sz="0" w:space="0" w:color="auto"/>
          <w:between w:val="none" w:sz="0" w:space="0" w:color="auto"/>
        </w:pBdr>
        <w:spacing w:line="600" w:lineRule="exact"/>
        <w:ind w:firstLine="420" w:firstLineChars="200"/>
        <w:jc w:val="both"/>
        <w:rPr>
          <w:rFonts w:asciiTheme="minorEastAsia" w:eastAsiaTheme="minorEastAsia" w:hAnsiTheme="minorEastAsia" w:cstheme="minorEastAsia" w:hint="eastAsia"/>
          <w:b w:val="0"/>
          <w:bCs w:val="0"/>
          <w:sz w:val="21"/>
          <w:szCs w:val="21"/>
          <w:vertAlign w:val="baseline"/>
          <w:lang w:val="en-US" w:eastAsia="zh-CN"/>
        </w:rPr>
      </w:pPr>
      <w:r>
        <w:rPr>
          <w:rFonts w:asciiTheme="minorEastAsia" w:eastAsiaTheme="minorEastAsia" w:hAnsiTheme="minorEastAsia" w:cstheme="minorEastAsia" w:hint="eastAsia"/>
          <w:b w:val="0"/>
          <w:bCs w:val="0"/>
          <w:sz w:val="21"/>
          <w:szCs w:val="21"/>
          <w:vertAlign w:val="baseline"/>
          <w:lang w:val="en-US" w:eastAsia="zh-CN"/>
        </w:rPr>
        <w:t>国家中小学智慧教育平台的“课程教学”栏目包含六年级语文全册教材的微课视频、学习任务单、课后练习，资源由国家级教研组审核，有很好的教学参考价值。课后服务板块中的“经典阅读”部分包含高段学生适合的整本书导读资源，“班级群”功能给老师追踪学生课外阅读轨迹赋予了轻量化的手段。本案例想解答的主要问题就是怎样将各个平台的功能有机地融入六年级语文阅读教学的全过程，让自主阅读能力的培养不只是课堂上的事情，而是由教师“教”转为学生“行”的课外活动。</w:t>
      </w:r>
    </w:p>
    <w:p w14:paraId="671BD85F">
      <w:pPr>
        <w:pBdr>
          <w:top w:val="none" w:sz="0" w:space="0" w:color="auto"/>
          <w:left w:val="none" w:sz="0" w:space="0" w:color="auto"/>
          <w:bottom w:val="none" w:sz="0" w:space="0" w:color="auto"/>
          <w:right w:val="none" w:sz="0" w:space="0" w:color="auto"/>
          <w:between w:val="none" w:sz="0" w:space="0" w:color="auto"/>
        </w:pBdr>
        <w:spacing w:line="600" w:lineRule="exact"/>
        <w:ind w:firstLine="420" w:firstLineChars="200"/>
        <w:jc w:val="both"/>
        <w:rPr>
          <w:rFonts w:asciiTheme="minorEastAsia" w:eastAsiaTheme="minorEastAsia" w:hAnsiTheme="minorEastAsia" w:cstheme="minorEastAsia" w:hint="eastAsia"/>
          <w:b w:val="0"/>
          <w:bCs w:val="0"/>
          <w:sz w:val="21"/>
          <w:szCs w:val="21"/>
          <w:vertAlign w:val="baseline"/>
          <w:lang w:val="en-US" w:eastAsia="zh-CN"/>
        </w:rPr>
      </w:pPr>
      <w:r>
        <w:rPr>
          <w:rFonts w:asciiTheme="minorEastAsia" w:eastAsiaTheme="minorEastAsia" w:hAnsiTheme="minorEastAsia" w:cstheme="minorEastAsia" w:hint="eastAsia"/>
          <w:b w:val="0"/>
          <w:bCs w:val="0"/>
          <w:sz w:val="21"/>
          <w:szCs w:val="21"/>
          <w:vertAlign w:val="baseline"/>
          <w:lang w:val="en-US" w:eastAsia="zh-CN"/>
        </w:rPr>
        <w:t>二、目标与思路</w:t>
      </w:r>
    </w:p>
    <w:p w14:paraId="3402BF9D">
      <w:pPr>
        <w:rPr>
          <w:rFonts w:asciiTheme="minorEastAsia" w:hAnsiTheme="minorEastAsia" w:cstheme="minorEastAsia" w:hint="eastAsia"/>
          <w:b w:val="0"/>
          <w:bCs w:val="0"/>
          <w:sz w:val="21"/>
          <w:szCs w:val="21"/>
          <w:vertAlign w:val="baseline"/>
          <w:lang w:val="en-US" w:eastAsia="zh-CN"/>
        </w:rPr>
      </w:pPr>
      <w:r>
        <w:rPr>
          <w:rFonts w:asciiTheme="minorEastAsia" w:eastAsiaTheme="minorEastAsia" w:hAnsiTheme="minorEastAsia" w:cstheme="minorEastAsia" w:hint="eastAsia"/>
          <w:b w:val="0"/>
          <w:bCs w:val="0"/>
          <w:sz w:val="21"/>
          <w:szCs w:val="21"/>
          <w:vertAlign w:val="baseline"/>
          <w:lang w:val="en-US" w:eastAsia="zh-CN"/>
        </w:rPr>
        <w:t>本案例以国家中小学智慧教育平台为基础，以六年级上册第三单元“有目的地阅读”的策略以及第四单元“快乐读书吧”《童年》整本书阅读任务为依托，培养学生三个方面自主阅读的能力</w:t>
      </w:r>
      <w:r>
        <w:rPr>
          <w:rFonts w:asciiTheme="minorEastAsia" w:hAnsiTheme="minorEastAsia" w:cstheme="minorEastAsia" w:hint="eastAsia"/>
          <w:b w:val="0"/>
          <w:bCs w:val="0"/>
          <w:sz w:val="21"/>
          <w:szCs w:val="21"/>
          <w:vertAlign w:val="baseline"/>
          <w:lang w:val="en-US" w:eastAsia="zh-CN"/>
        </w:rPr>
        <w:t>。</w:t>
      </w:r>
    </w:p>
    <w:p w14:paraId="0F6A3DFB">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hint="eastAsia"/>
        </w:rPr>
      </w:pPr>
      <w:r>
        <w:rPr>
          <w:rFonts w:hint="eastAsia"/>
        </w:rPr>
        <w:t>案例设计以任务驱动、支架嵌入、数据反馈为闭环结构。整</w:t>
      </w:r>
      <w:r>
        <w:rPr>
          <w:rFonts w:hint="eastAsia"/>
          <w:lang w:eastAsia="zh-CN"/>
        </w:rPr>
        <w:t>个</w:t>
      </w:r>
      <w:r>
        <w:rPr>
          <w:rFonts w:hint="eastAsia"/>
          <w:lang w:val="en-US" w:eastAsia="zh-CN"/>
        </w:rPr>
        <w:t>的设计重视</w:t>
      </w:r>
      <w:r>
        <w:rPr>
          <w:rFonts w:hint="eastAsia"/>
          <w:lang w:eastAsia="zh-CN"/>
        </w:rPr>
        <w:t>平</w:t>
      </w:r>
      <w:r>
        <w:rPr>
          <w:rFonts w:hint="eastAsia"/>
        </w:rPr>
        <w:t>台资源以及功能的嵌入式使用，在传统的教学手段不能实现目标的情况下才使用平台的工具，保证技术服务于学生的阅读能力真实的成长。</w:t>
      </w:r>
    </w:p>
    <w:p w14:paraId="57263EEB">
      <w:pPr>
        <w:rPr>
          <w:rFonts w:asciiTheme="minorEastAsia" w:hAnsiTheme="minorEastAsia" w:cstheme="minorEastAsia" w:hint="eastAsia"/>
          <w:b w:val="0"/>
          <w:bCs w:val="0"/>
          <w:sz w:val="21"/>
          <w:szCs w:val="21"/>
          <w:vertAlign w:val="baseline"/>
          <w:lang w:val="en-US" w:eastAsia="zh-CN"/>
        </w:rPr>
      </w:pPr>
    </w:p>
    <w:p w14:paraId="2A9354CD">
      <w:pPr>
        <w:rPr>
          <w:rFonts w:asciiTheme="minorEastAsia" w:hAnsiTheme="minorEastAsia" w:cstheme="minorEastAsia" w:hint="eastAsia"/>
          <w:b w:val="0"/>
          <w:bCs w:val="0"/>
          <w:sz w:val="21"/>
          <w:szCs w:val="21"/>
          <w:vertAlign w:val="baseline"/>
          <w:lang w:val="en-US" w:eastAsia="zh-CN"/>
        </w:rPr>
      </w:pPr>
    </w:p>
    <w:p w14:paraId="4A5BB3A8">
      <w:pPr>
        <w:pBdr>
          <w:top w:val="none" w:sz="0" w:space="0" w:color="auto"/>
          <w:left w:val="none" w:sz="0" w:space="0" w:color="auto"/>
          <w:bottom w:val="none" w:sz="0" w:space="0" w:color="auto"/>
          <w:right w:val="none" w:sz="0" w:space="0" w:color="auto"/>
          <w:between w:val="none" w:sz="0" w:space="0" w:color="auto"/>
        </w:pBdr>
        <w:spacing w:line="600" w:lineRule="exact"/>
        <w:ind w:firstLine="420" w:firstLineChars="200"/>
        <w:jc w:val="both"/>
        <w:rPr>
          <w:rFonts w:asciiTheme="minorEastAsia" w:eastAsiaTheme="minorEastAsia" w:hAnsiTheme="minorEastAsia" w:cstheme="minorEastAsia" w:hint="eastAsia"/>
          <w:b w:val="0"/>
          <w:bCs w:val="0"/>
          <w:sz w:val="21"/>
          <w:szCs w:val="21"/>
          <w:vertAlign w:val="baseline"/>
          <w:lang w:val="en-US" w:eastAsia="zh-CN"/>
        </w:rPr>
      </w:pPr>
      <w:r>
        <w:rPr>
          <w:rFonts w:asciiTheme="minorEastAsia" w:eastAsiaTheme="minorEastAsia" w:hAnsiTheme="minorEastAsia" w:cstheme="minorEastAsia" w:hint="eastAsia"/>
          <w:b w:val="0"/>
          <w:bCs w:val="0"/>
          <w:sz w:val="21"/>
          <w:szCs w:val="21"/>
          <w:vertAlign w:val="baseline"/>
          <w:lang w:val="en-US" w:eastAsia="zh-CN"/>
        </w:rPr>
        <w:t>教师会根据平台课程教学板块的阅读策略相关课后作业进行阶段性的检测。以平台上的阅读目的相关练习题为例，教师在学生阅读了《童年》的一半之后再进行选择，在没有翻书的情况下完成题目，考查学生在不断地阅读中是否一直保持着策略运用的意识。</w:t>
      </w:r>
    </w:p>
    <w:p w14:paraId="628A3827">
      <w:pPr>
        <w:numPr>
          <w:ilvl w:val="12"/>
          <w:numId w:val="0"/>
        </w:numPr>
        <w:pBdr>
          <w:top w:val="none" w:sz="0" w:space="0" w:color="auto"/>
          <w:left w:val="none" w:sz="0" w:space="0" w:color="auto"/>
          <w:bottom w:val="none" w:sz="0" w:space="0" w:color="auto"/>
          <w:right w:val="none" w:sz="0" w:space="0" w:color="auto"/>
          <w:between w:val="none" w:sz="0" w:space="0" w:color="auto"/>
        </w:pBdr>
        <w:spacing w:line="600" w:lineRule="exact"/>
        <w:ind w:firstLine="420" w:firstLineChars="200"/>
        <w:jc w:val="both"/>
        <w:rPr>
          <w:rFonts w:asciiTheme="minorEastAsia" w:eastAsiaTheme="minorEastAsia" w:hAnsiTheme="minorEastAsia" w:cstheme="minorEastAsia" w:hint="eastAsia"/>
          <w:b w:val="0"/>
          <w:bCs w:val="0"/>
          <w:sz w:val="21"/>
          <w:szCs w:val="21"/>
          <w:vertAlign w:val="baseline"/>
          <w:lang w:val="en-US" w:eastAsia="zh-CN"/>
        </w:rPr>
      </w:pPr>
      <w:r>
        <w:rPr>
          <w:rFonts w:asciiTheme="minorEastAsia" w:eastAsiaTheme="minorEastAsia" w:hAnsiTheme="minorEastAsia" w:cstheme="minorEastAsia" w:hint="eastAsia"/>
          <w:b w:val="0"/>
          <w:bCs w:val="0"/>
          <w:sz w:val="21"/>
          <w:szCs w:val="21"/>
          <w:vertAlign w:val="baseline"/>
          <w:lang w:val="en-US" w:eastAsia="zh-CN"/>
        </w:rPr>
        <w:t>四、取得成效</w:t>
      </w:r>
    </w:p>
    <w:p w14:paraId="07F08C31">
      <w:pPr>
        <w:numPr>
          <w:ilvl w:val="12"/>
          <w:numId w:val="0"/>
        </w:numPr>
        <w:pBdr>
          <w:top w:val="none" w:sz="0" w:space="0" w:color="auto"/>
          <w:left w:val="none" w:sz="0" w:space="0" w:color="auto"/>
          <w:bottom w:val="none" w:sz="0" w:space="0" w:color="auto"/>
          <w:right w:val="none" w:sz="0" w:space="0" w:color="auto"/>
          <w:between w:val="none" w:sz="0" w:space="0" w:color="auto"/>
        </w:pBdr>
        <w:spacing w:line="600" w:lineRule="exact"/>
        <w:ind w:firstLine="420" w:firstLineChars="200"/>
        <w:jc w:val="both"/>
        <w:rPr>
          <w:rFonts w:asciiTheme="minorEastAsia" w:eastAsiaTheme="minorEastAsia" w:hAnsiTheme="minorEastAsia" w:cstheme="minorEastAsia" w:hint="eastAsia"/>
          <w:b w:val="0"/>
          <w:bCs w:val="0"/>
          <w:sz w:val="21"/>
          <w:szCs w:val="21"/>
          <w:vertAlign w:val="baseline"/>
          <w:lang w:val="en-US" w:eastAsia="zh-CN"/>
        </w:rPr>
      </w:pPr>
      <w:r>
        <w:rPr>
          <w:rFonts w:asciiTheme="minorEastAsia" w:eastAsiaTheme="minorEastAsia" w:hAnsiTheme="minorEastAsia" w:cstheme="minorEastAsia" w:hint="eastAsia"/>
          <w:b w:val="0"/>
          <w:bCs w:val="0"/>
          <w:sz w:val="21"/>
          <w:szCs w:val="21"/>
          <w:vertAlign w:val="baseline"/>
          <w:lang w:val="en-US" w:eastAsia="zh-CN"/>
        </w:rPr>
        <w:t>单元学习结束后教师使用平台课后练习对学生的学习效果做后测，可以发现有大约30%的学生能够根据具体的任务来决定使用精读、跳读或者浏览，而有将近70%的学生可以做到这一点，虽然不能断定因果关系，但是微课切片嵌入即时操练对于唤醒学生策略意识有促进作用。整本书阅读中《童年》的完成率由原来的不到一半提高到接近八成，阅读痕迹从一开始的简短模糊开始有了联系生活经验、旧读的表达，班级群内自发回应同伴情况增多。学生写到“以前觉得跳读是偷懒的行为，但是外婆讲故事是慢下来的，过渡章节可以快一些，心里反而更明白这本书讲的是什么。”说明学生对于阅读目的、方法的认识正由原来的简单记忆走向情境上的判断</w:t>
      </w:r>
      <w:r>
        <w:rPr>
          <w:rFonts w:asciiTheme="minorEastAsia" w:hAnsiTheme="minorEastAsia" w:cstheme="minorEastAsia" w:hint="eastAsia"/>
          <w:b w:val="0"/>
          <w:bCs w:val="0"/>
          <w:sz w:val="21"/>
          <w:szCs w:val="21"/>
          <w:vertAlign w:val="baseline"/>
          <w:lang w:val="en-US" w:eastAsia="zh-CN"/>
        </w:rPr>
        <w:t>。</w:t>
      </w:r>
    </w:p>
    <w:p w14:paraId="247CA71B">
      <w:pPr>
        <w:numPr>
          <w:ilvl w:val="0"/>
          <w:numId w:val="0"/>
        </w:numPr>
        <w:pBdr>
          <w:top w:val="none" w:sz="0" w:space="0" w:color="auto"/>
          <w:left w:val="none" w:sz="0" w:space="0" w:color="auto"/>
          <w:bottom w:val="none" w:sz="0" w:space="0" w:color="auto"/>
          <w:right w:val="none" w:sz="0" w:space="0" w:color="auto"/>
          <w:between w:val="none" w:sz="0" w:space="0" w:color="auto"/>
        </w:pBdr>
        <w:spacing w:line="600" w:lineRule="exact"/>
        <w:ind w:firstLine="420" w:firstLineChars="200"/>
        <w:jc w:val="both"/>
        <w:rPr>
          <w:rFonts w:asciiTheme="minorEastAsia" w:eastAsiaTheme="minorEastAsia" w:hAnsiTheme="minorEastAsia" w:cstheme="minorEastAsia" w:hint="default"/>
          <w:b w:val="0"/>
          <w:bCs w:val="0"/>
          <w:sz w:val="21"/>
          <w:szCs w:val="21"/>
          <w:vertAlign w:val="baseline"/>
          <w:lang w:val="en-US" w:eastAsia="zh-CN"/>
        </w:rPr>
      </w:pPr>
      <w:r>
        <w:rPr>
          <w:rFonts w:asciiTheme="minorEastAsia" w:eastAsiaTheme="minorEastAsia" w:hAnsiTheme="minorEastAsia" w:cstheme="minorEastAsia" w:hint="eastAsia"/>
          <w:b w:val="0"/>
          <w:bCs w:val="0"/>
          <w:sz w:val="21"/>
          <w:szCs w:val="21"/>
          <w:vertAlign w:val="baseline"/>
          <w:lang w:val="en-US" w:eastAsia="zh-CN"/>
        </w:rPr>
        <w:t>五、</w:t>
      </w:r>
      <w:r>
        <w:rPr>
          <w:rFonts w:asciiTheme="minorEastAsia" w:hAnsiTheme="minorEastAsia" w:cstheme="minorEastAsia" w:hint="eastAsia"/>
          <w:b w:val="0"/>
          <w:bCs w:val="0"/>
          <w:sz w:val="21"/>
          <w:szCs w:val="21"/>
          <w:vertAlign w:val="baseline"/>
          <w:lang w:val="en-US" w:eastAsia="zh-CN"/>
        </w:rPr>
        <w:t>结论及展望</w:t>
      </w:r>
    </w:p>
    <w:p w14:paraId="45351DFF">
      <w:pPr>
        <w:pBdr>
          <w:top w:val="none" w:sz="0" w:space="0" w:color="auto"/>
          <w:left w:val="none" w:sz="0" w:space="0" w:color="auto"/>
          <w:bottom w:val="none" w:sz="0" w:space="0" w:color="auto"/>
          <w:right w:val="none" w:sz="0" w:space="0" w:color="auto"/>
          <w:between w:val="none" w:sz="0" w:space="0" w:color="auto"/>
        </w:pBdr>
        <w:spacing w:line="600" w:lineRule="exact"/>
        <w:ind w:firstLine="420" w:firstLineChars="200"/>
        <w:rPr>
          <w:rFonts w:asciiTheme="minorEastAsia" w:eastAsiaTheme="minorEastAsia" w:hAnsiTheme="minorEastAsia" w:cstheme="minorEastAsia" w:hint="eastAsia"/>
          <w:b w:val="0"/>
          <w:bCs w:val="0"/>
          <w:sz w:val="21"/>
          <w:szCs w:val="21"/>
          <w:vertAlign w:val="baseline"/>
          <w:lang w:val="en-US" w:eastAsia="zh-CN"/>
        </w:rPr>
      </w:pPr>
      <w:r>
        <w:rPr>
          <w:rFonts w:asciiTheme="minorEastAsia" w:eastAsiaTheme="minorEastAsia" w:hAnsiTheme="minorEastAsia" w:cstheme="minorEastAsia" w:hint="eastAsia"/>
          <w:b w:val="0"/>
          <w:bCs w:val="0"/>
          <w:sz w:val="21"/>
          <w:szCs w:val="21"/>
          <w:vertAlign w:val="baseline"/>
          <w:lang w:val="en-US" w:eastAsia="zh-CN"/>
        </w:rPr>
        <w:t>国家中小学智慧教育平台价值不是数量上的可以播放的视频，而是它的资源结构和教学场景之间有可以嵌入的接口。微课切片起到策略示范的“标准参照”作用，在课堂时间里让教师的讲解得以解放出来进行真实的操练，任务单和课后练习是轻量化的学情诊断手段，可以在不增加教师负担的情况下获得学生的阅读行为的线索，班级群功能把课外阅读由独立的个体行为转变为有反馈的社群行为。三者都指向同一个目标，就是使学生把阅读过程从“视野的死角”中脱离出来，变得可以看见、可以讨论、可以调节。</w:t>
      </w:r>
    </w:p>
    <w:p w14:paraId="666AD259">
      <w:pPr>
        <w:rPr>
          <w:rFonts w:asciiTheme="minorEastAsia" w:hAnsiTheme="minorEastAsia" w:cstheme="minorEastAsia" w:hint="eastAsia"/>
          <w:b w:val="0"/>
          <w:bCs w:val="0"/>
          <w:sz w:val="21"/>
          <w:szCs w:val="21"/>
          <w:vertAlign w:val="baseline"/>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7F7DC3"/>
    <w:rsid w:val="577F7D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2026-11-04T02:05:00Z</dcterms:created>
  <dcterms:modified xsi:type="dcterms:W3CDTF">2026-11-04T02:06:25Z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40968C7A3E5D4991AAB9E7C176E86560_11</vt:lpwstr>
  </property>
  <property fmtid="{D5CDD505-2E9C-101B-9397-08002B2CF9AE}" pid="3" name="KSOProductBuildVer">
    <vt:lpwstr>2052-12.1.0.29161</vt:lpwstr>
  </property>
  <property fmtid="{D5CDD505-2E9C-101B-9397-08002B2CF9AE}" pid="4" name="KSOTemplateDocerSaveRecord">
    <vt:lpwstr>eyJoZGlkIjoiMGM2YzIzNzlkNTIxMmZkNmVjZmE0YjJkNTUxYmMwZWYiLCJ1c2VySWQiOiI1ODIxNTk5MDgifQ==</vt:lpwstr>
  </property>
</Properties>
</file>