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D399E76">
      <w:pPr>
        <w:spacing w:line="360" w:lineRule="auto"/>
        <w:ind w:firstLine="480" w:firstLineChars="200"/>
        <w:rPr>
          <w:rFonts w:hint="eastAsia"/>
          <w:sz w:val="24"/>
          <w:szCs w:val="24"/>
          <w:lang w:val="en-US" w:eastAsia="zh-CN"/>
        </w:rPr>
      </w:pPr>
      <w:r>
        <w:rPr>
          <w:rFonts w:hint="eastAsia"/>
          <w:sz w:val="24"/>
          <w:szCs w:val="24"/>
          <w:lang w:val="en-US" w:eastAsia="zh-CN"/>
        </w:rPr>
        <w:t>摘要：</w:t>
      </w:r>
      <w:r>
        <w:rPr>
          <w:rFonts w:hint="eastAsia"/>
          <w:sz w:val="24"/>
          <w:szCs w:val="24"/>
          <w:lang w:val="en-US" w:eastAsia="zh-CN"/>
        </w:rPr>
        <w:t>伴随着建筑工程建设模式的不断发展，全过程造价管理渐渐在工程项目中被推广。本文以建筑工程全过程造价管控工作为研究对象，对投资决策、设计、招投标、施工、竣工结算各阶段造价的应用要点进行梳理，选取贵州毕节安置房工程做案例分析，对项目各阶段造价数据进行回溯分析管控工作开展情况。研究得出结论，分阶段闭环管控的全过程</w:t>
      </w:r>
      <w:bookmarkStart w:id="0" w:name="_GoBack"/>
      <w:bookmarkEnd w:id="0"/>
      <w:r>
        <w:rPr>
          <w:rFonts w:hint="eastAsia"/>
          <w:sz w:val="24"/>
          <w:szCs w:val="24"/>
          <w:lang w:val="en-US" w:eastAsia="zh-CN"/>
        </w:rPr>
        <w:t>造价管理模式，能够符合政府类住宅项目造价控制的要求。</w:t>
      </w:r>
    </w:p>
    <w:p w14:paraId="64AA6E25">
      <w:pPr>
        <w:spacing w:line="360" w:lineRule="auto"/>
        <w:ind w:firstLine="480" w:firstLineChars="200"/>
        <w:rPr>
          <w:rFonts w:hint="eastAsia"/>
          <w:sz w:val="24"/>
          <w:szCs w:val="24"/>
          <w:lang w:val="en-US" w:eastAsia="zh-CN"/>
        </w:rPr>
      </w:pPr>
    </w:p>
    <w:p w14:paraId="0B8E7692">
      <w:pPr>
        <w:spacing w:line="360" w:lineRule="auto"/>
        <w:ind w:firstLine="480" w:firstLineChars="200"/>
        <w:rPr>
          <w:rFonts w:hint="eastAsia"/>
          <w:sz w:val="24"/>
          <w:szCs w:val="24"/>
          <w:lang w:val="en-US" w:eastAsia="zh-CN"/>
        </w:rPr>
      </w:pPr>
      <w:r>
        <w:rPr>
          <w:rFonts w:hint="eastAsia"/>
          <w:sz w:val="24"/>
          <w:szCs w:val="24"/>
          <w:lang w:val="en-US" w:eastAsia="zh-CN"/>
        </w:rPr>
        <w:t>2.3管控成效复盘与实践启示</w:t>
      </w:r>
    </w:p>
    <w:p w14:paraId="25C4B8BC">
      <w:pPr>
        <w:spacing w:line="360" w:lineRule="auto"/>
        <w:ind w:firstLine="480" w:firstLineChars="200"/>
        <w:rPr>
          <w:rFonts w:hint="eastAsia"/>
          <w:sz w:val="24"/>
          <w:szCs w:val="24"/>
          <w:lang w:val="en-US" w:eastAsia="zh-CN"/>
        </w:rPr>
      </w:pPr>
      <w:r>
        <w:rPr>
          <w:rFonts w:hint="eastAsia"/>
          <w:sz w:val="24"/>
          <w:szCs w:val="24"/>
          <w:lang w:val="en-US" w:eastAsia="zh-CN"/>
        </w:rPr>
        <w:t>整套管控流程运行过程中产生的各个阶段的造价偏差及纠偏记录整理见表2，可以清楚地看到各个阶段的计划投资额、过程核算金额、纠偏措施。</w:t>
      </w:r>
    </w:p>
    <w:p w14:paraId="53BB32B9">
      <w:pPr>
        <w:spacing w:line="360" w:lineRule="auto"/>
        <w:jc w:val="center"/>
        <w:rPr>
          <w:rFonts w:hint="eastAsia"/>
          <w:sz w:val="24"/>
          <w:szCs w:val="24"/>
          <w:lang w:val="en-US" w:eastAsia="zh-CN"/>
        </w:rPr>
      </w:pPr>
      <w:r>
        <w:rPr>
          <w:rFonts w:hint="eastAsia"/>
          <w:sz w:val="24"/>
          <w:szCs w:val="24"/>
          <w:lang w:val="en-US" w:eastAsia="zh-CN"/>
        </w:rPr>
        <w:t>表2案例项目各阶段造价偏差与纠偏成效对比表</w:t>
      </w:r>
    </w:p>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15" w:type="dxa"/>
          <w:left w:w="15" w:type="dxa"/>
          <w:bottom w:w="15" w:type="dxa"/>
          <w:right w:w="15" w:type="dxa"/>
        </w:tblCellMar>
      </w:tblPr>
      <w:tblGrid>
        <w:gridCol w:w="1196"/>
        <w:gridCol w:w="2526"/>
        <w:gridCol w:w="1523"/>
        <w:gridCol w:w="3301"/>
      </w:tblGrid>
      <w:tr w14:paraId="4CF6A564">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15" w:type="dxa"/>
            <w:left w:w="15" w:type="dxa"/>
            <w:bottom w:w="15" w:type="dxa"/>
            <w:right w:w="15" w:type="dxa"/>
          </w:tblCellMar>
        </w:tblPrEx>
        <w:trPr>
          <w:tblHeader/>
        </w:trPr>
        <w:tc>
          <w:tcPr>
            <w:tcW w:w="0" w:type="auto"/>
            <w:shd w:val="clear" w:color="auto" w:fill="auto"/>
            <w:tcMar>
              <w:top w:w="120" w:type="dxa"/>
              <w:left w:w="120" w:type="dxa"/>
              <w:bottom w:w="120" w:type="dxa"/>
              <w:right w:w="120" w:type="dxa"/>
            </w:tcMar>
            <w:vAlign w:val="center"/>
          </w:tcPr>
          <w:p w14:paraId="23CB064A">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阶段</w:t>
            </w:r>
          </w:p>
        </w:tc>
        <w:tc>
          <w:tcPr>
            <w:tcW w:w="0" w:type="auto"/>
            <w:shd w:val="clear" w:color="auto" w:fill="auto"/>
            <w:tcMar>
              <w:top w:w="120" w:type="dxa"/>
              <w:left w:w="120" w:type="dxa"/>
              <w:bottom w:w="120" w:type="dxa"/>
              <w:right w:w="120" w:type="dxa"/>
            </w:tcMar>
            <w:vAlign w:val="center"/>
          </w:tcPr>
          <w:p w14:paraId="4CBDDADD">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计划投资额</w:t>
            </w:r>
          </w:p>
        </w:tc>
        <w:tc>
          <w:tcPr>
            <w:tcW w:w="0" w:type="auto"/>
            <w:shd w:val="clear" w:color="auto" w:fill="auto"/>
            <w:tcMar>
              <w:top w:w="120" w:type="dxa"/>
              <w:left w:w="120" w:type="dxa"/>
              <w:bottom w:w="120" w:type="dxa"/>
              <w:right w:w="120" w:type="dxa"/>
            </w:tcMar>
            <w:vAlign w:val="center"/>
          </w:tcPr>
          <w:p w14:paraId="14495747">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过程核算金额</w:t>
            </w:r>
          </w:p>
        </w:tc>
        <w:tc>
          <w:tcPr>
            <w:tcW w:w="0" w:type="auto"/>
            <w:shd w:val="clear" w:color="auto" w:fill="auto"/>
            <w:tcMar>
              <w:top w:w="120" w:type="dxa"/>
              <w:left w:w="120" w:type="dxa"/>
              <w:bottom w:w="120" w:type="dxa"/>
              <w:right w:w="120" w:type="dxa"/>
            </w:tcMar>
            <w:vAlign w:val="center"/>
          </w:tcPr>
          <w:p w14:paraId="29CFC7EC">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纠偏措施</w:t>
            </w:r>
          </w:p>
        </w:tc>
      </w:tr>
      <w:tr w14:paraId="798D9AE2">
        <w:tblPrEx>
          <w:tblW w:w="5000" w:type="pct"/>
          <w:tblInd w:w="0" w:type="dxa"/>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5ED2570B">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投资决策阶段</w:t>
            </w:r>
          </w:p>
        </w:tc>
        <w:tc>
          <w:tcPr>
            <w:tcW w:w="0" w:type="auto"/>
            <w:shd w:val="clear" w:color="auto" w:fill="auto"/>
            <w:tcMar>
              <w:top w:w="120" w:type="dxa"/>
              <w:left w:w="120" w:type="dxa"/>
              <w:bottom w:w="120" w:type="dxa"/>
              <w:right w:w="120" w:type="dxa"/>
            </w:tcMar>
            <w:vAlign w:val="center"/>
          </w:tcPr>
          <w:p w14:paraId="4C031942">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63187.5万元（估算）</w:t>
            </w:r>
          </w:p>
        </w:tc>
        <w:tc>
          <w:tcPr>
            <w:tcW w:w="0" w:type="auto"/>
            <w:shd w:val="clear" w:color="auto" w:fill="auto"/>
            <w:tcMar>
              <w:top w:w="120" w:type="dxa"/>
              <w:left w:w="120" w:type="dxa"/>
              <w:bottom w:w="120" w:type="dxa"/>
              <w:right w:w="120" w:type="dxa"/>
            </w:tcMar>
            <w:vAlign w:val="center"/>
          </w:tcPr>
          <w:p w14:paraId="2D274D5E">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63162.3万元</w:t>
            </w:r>
          </w:p>
        </w:tc>
        <w:tc>
          <w:tcPr>
            <w:tcW w:w="0" w:type="auto"/>
            <w:shd w:val="clear" w:color="auto" w:fill="auto"/>
            <w:tcMar>
              <w:top w:w="120" w:type="dxa"/>
              <w:left w:w="120" w:type="dxa"/>
              <w:bottom w:w="120" w:type="dxa"/>
              <w:right w:w="120" w:type="dxa"/>
            </w:tcMar>
            <w:vAlign w:val="center"/>
          </w:tcPr>
          <w:p w14:paraId="29EDD18B">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补充场地配套询价，剔除重复计取费用</w:t>
            </w:r>
          </w:p>
        </w:tc>
      </w:tr>
      <w:tr w14:paraId="19E78AE8">
        <w:tblPrEx>
          <w:tblW w:w="5000" w:type="pct"/>
          <w:tblInd w:w="0" w:type="dxa"/>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430E5F27">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设计阶段</w:t>
            </w:r>
          </w:p>
        </w:tc>
        <w:tc>
          <w:tcPr>
            <w:tcW w:w="0" w:type="auto"/>
            <w:shd w:val="clear" w:color="auto" w:fill="auto"/>
            <w:tcMar>
              <w:top w:w="120" w:type="dxa"/>
              <w:left w:w="120" w:type="dxa"/>
              <w:bottom w:w="120" w:type="dxa"/>
              <w:right w:w="120" w:type="dxa"/>
            </w:tcMar>
            <w:vAlign w:val="center"/>
          </w:tcPr>
          <w:p w14:paraId="763938DD">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35315.89万元（建安概算）</w:t>
            </w:r>
          </w:p>
        </w:tc>
        <w:tc>
          <w:tcPr>
            <w:tcW w:w="0" w:type="auto"/>
            <w:shd w:val="clear" w:color="auto" w:fill="auto"/>
            <w:tcMar>
              <w:top w:w="120" w:type="dxa"/>
              <w:left w:w="120" w:type="dxa"/>
              <w:bottom w:w="120" w:type="dxa"/>
              <w:right w:w="120" w:type="dxa"/>
            </w:tcMar>
            <w:vAlign w:val="center"/>
          </w:tcPr>
          <w:p w14:paraId="7C220886">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35281.62万元</w:t>
            </w:r>
          </w:p>
        </w:tc>
        <w:tc>
          <w:tcPr>
            <w:tcW w:w="0" w:type="auto"/>
            <w:shd w:val="clear" w:color="auto" w:fill="auto"/>
            <w:tcMar>
              <w:top w:w="120" w:type="dxa"/>
              <w:left w:w="120" w:type="dxa"/>
              <w:bottom w:w="120" w:type="dxa"/>
              <w:right w:w="120" w:type="dxa"/>
            </w:tcMar>
            <w:vAlign w:val="center"/>
          </w:tcPr>
          <w:p w14:paraId="13AE0DD1">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方案比选，删减非必要装饰构件</w:t>
            </w:r>
          </w:p>
        </w:tc>
      </w:tr>
      <w:tr w14:paraId="2BBA38D4">
        <w:tblPrEx>
          <w:tblW w:w="5000" w:type="pct"/>
          <w:tblInd w:w="0" w:type="dxa"/>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2A5DF8AA">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招投标阶段</w:t>
            </w:r>
          </w:p>
        </w:tc>
        <w:tc>
          <w:tcPr>
            <w:tcW w:w="0" w:type="auto"/>
            <w:shd w:val="clear" w:color="auto" w:fill="auto"/>
            <w:tcMar>
              <w:top w:w="120" w:type="dxa"/>
              <w:left w:w="120" w:type="dxa"/>
              <w:bottom w:w="120" w:type="dxa"/>
              <w:right w:w="120" w:type="dxa"/>
            </w:tcMar>
            <w:vAlign w:val="center"/>
          </w:tcPr>
          <w:p w14:paraId="04258E84">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35281.62万元（招标控制价）</w:t>
            </w:r>
          </w:p>
        </w:tc>
        <w:tc>
          <w:tcPr>
            <w:tcW w:w="0" w:type="auto"/>
            <w:shd w:val="clear" w:color="auto" w:fill="auto"/>
            <w:tcMar>
              <w:top w:w="120" w:type="dxa"/>
              <w:left w:w="120" w:type="dxa"/>
              <w:bottom w:w="120" w:type="dxa"/>
              <w:right w:w="120" w:type="dxa"/>
            </w:tcMar>
            <w:vAlign w:val="center"/>
          </w:tcPr>
          <w:p w14:paraId="528087EB">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35267.40万元</w:t>
            </w:r>
          </w:p>
        </w:tc>
        <w:tc>
          <w:tcPr>
            <w:tcW w:w="0" w:type="auto"/>
            <w:shd w:val="clear" w:color="auto" w:fill="auto"/>
            <w:tcMar>
              <w:top w:w="120" w:type="dxa"/>
              <w:left w:w="120" w:type="dxa"/>
              <w:bottom w:w="120" w:type="dxa"/>
              <w:right w:w="120" w:type="dxa"/>
            </w:tcMar>
            <w:vAlign w:val="center"/>
          </w:tcPr>
          <w:p w14:paraId="70B19CB8">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清标调整不平衡报价，完善清单特征描述</w:t>
            </w:r>
          </w:p>
        </w:tc>
      </w:tr>
      <w:tr w14:paraId="4454410F">
        <w:tblPrEx>
          <w:tblW w:w="5000" w:type="pct"/>
          <w:tblInd w:w="0" w:type="dxa"/>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0553C362">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施工阶段</w:t>
            </w:r>
          </w:p>
        </w:tc>
        <w:tc>
          <w:tcPr>
            <w:tcW w:w="0" w:type="auto"/>
            <w:shd w:val="clear" w:color="auto" w:fill="auto"/>
            <w:tcMar>
              <w:top w:w="120" w:type="dxa"/>
              <w:left w:w="120" w:type="dxa"/>
              <w:bottom w:w="120" w:type="dxa"/>
              <w:right w:w="120" w:type="dxa"/>
            </w:tcMar>
            <w:vAlign w:val="center"/>
          </w:tcPr>
          <w:p w14:paraId="4F0DF649">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35267.40万元</w:t>
            </w:r>
          </w:p>
        </w:tc>
        <w:tc>
          <w:tcPr>
            <w:tcW w:w="0" w:type="auto"/>
            <w:shd w:val="clear" w:color="auto" w:fill="auto"/>
            <w:tcMar>
              <w:top w:w="120" w:type="dxa"/>
              <w:left w:w="120" w:type="dxa"/>
              <w:bottom w:w="120" w:type="dxa"/>
              <w:right w:w="120" w:type="dxa"/>
            </w:tcMar>
            <w:vAlign w:val="center"/>
          </w:tcPr>
          <w:p w14:paraId="2B2A4593">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35294.75万元</w:t>
            </w:r>
          </w:p>
        </w:tc>
        <w:tc>
          <w:tcPr>
            <w:tcW w:w="0" w:type="auto"/>
            <w:shd w:val="clear" w:color="auto" w:fill="auto"/>
            <w:tcMar>
              <w:top w:w="120" w:type="dxa"/>
              <w:left w:w="120" w:type="dxa"/>
              <w:bottom w:w="120" w:type="dxa"/>
              <w:right w:w="120" w:type="dxa"/>
            </w:tcMar>
            <w:vAlign w:val="center"/>
          </w:tcPr>
          <w:p w14:paraId="2668027C">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变更签证先核价后实施，按月更新成本台账</w:t>
            </w:r>
          </w:p>
        </w:tc>
      </w:tr>
      <w:tr w14:paraId="14DFA065">
        <w:tblPrEx>
          <w:tblW w:w="5000" w:type="pct"/>
          <w:tblInd w:w="0" w:type="dxa"/>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5975A517">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竣工结算阶段</w:t>
            </w:r>
          </w:p>
        </w:tc>
        <w:tc>
          <w:tcPr>
            <w:tcW w:w="0" w:type="auto"/>
            <w:shd w:val="clear" w:color="auto" w:fill="auto"/>
            <w:tcMar>
              <w:top w:w="120" w:type="dxa"/>
              <w:left w:w="120" w:type="dxa"/>
              <w:bottom w:w="120" w:type="dxa"/>
              <w:right w:w="120" w:type="dxa"/>
            </w:tcMar>
            <w:vAlign w:val="center"/>
          </w:tcPr>
          <w:p w14:paraId="108C6D85">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35294.75万元</w:t>
            </w:r>
          </w:p>
        </w:tc>
        <w:tc>
          <w:tcPr>
            <w:tcW w:w="0" w:type="auto"/>
            <w:shd w:val="clear" w:color="auto" w:fill="auto"/>
            <w:tcMar>
              <w:top w:w="120" w:type="dxa"/>
              <w:left w:w="120" w:type="dxa"/>
              <w:bottom w:w="120" w:type="dxa"/>
              <w:right w:w="120" w:type="dxa"/>
            </w:tcMar>
            <w:vAlign w:val="center"/>
          </w:tcPr>
          <w:p w14:paraId="4A797CA3">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35286.17万元</w:t>
            </w:r>
          </w:p>
        </w:tc>
        <w:tc>
          <w:tcPr>
            <w:tcW w:w="0" w:type="auto"/>
            <w:shd w:val="clear" w:color="auto" w:fill="auto"/>
            <w:tcMar>
              <w:top w:w="120" w:type="dxa"/>
              <w:left w:w="120" w:type="dxa"/>
              <w:bottom w:w="120" w:type="dxa"/>
              <w:right w:w="120" w:type="dxa"/>
            </w:tcMar>
            <w:vAlign w:val="center"/>
          </w:tcPr>
          <w:p w14:paraId="687709E4">
            <w:pPr>
              <w:keepNext w:val="0"/>
              <w:keepLines w:val="0"/>
              <w:widowControl/>
              <w:suppressLineNumbers w:val="0"/>
              <w:jc w:val="center"/>
              <w:rPr>
                <w:b w:val="0"/>
                <w:bCs w:val="0"/>
                <w:sz w:val="24"/>
                <w:szCs w:val="24"/>
              </w:rPr>
            </w:pPr>
            <w:r>
              <w:rPr>
                <w:rFonts w:ascii="宋体" w:eastAsia="宋体" w:hAnsi="宋体" w:cs="宋体"/>
                <w:b w:val="0"/>
                <w:bCs w:val="0"/>
                <w:kern w:val="0"/>
                <w:sz w:val="24"/>
                <w:szCs w:val="24"/>
                <w:lang w:val="en-US" w:eastAsia="zh-CN" w:bidi="ar"/>
              </w:rPr>
              <w:t>台账与结算资料联动复核，核对隐蔽验收记录</w:t>
            </w:r>
          </w:p>
        </w:tc>
      </w:tr>
    </w:tbl>
    <w:p w14:paraId="1F8FAB1E">
      <w:pPr>
        <w:spacing w:line="360" w:lineRule="auto"/>
        <w:ind w:firstLine="480" w:firstLineChars="200"/>
        <w:rPr>
          <w:rFonts w:hint="eastAsia"/>
          <w:sz w:val="24"/>
          <w:szCs w:val="24"/>
          <w:lang w:val="en-US" w:eastAsia="zh-CN"/>
        </w:rPr>
      </w:pPr>
      <w:r>
        <w:rPr>
          <w:rFonts w:hint="eastAsia"/>
          <w:sz w:val="24"/>
          <w:szCs w:val="24"/>
          <w:lang w:val="en-US" w:eastAsia="zh-CN"/>
        </w:rPr>
        <w:t>项目到竣工结算阶段时，审核人员调取了项目全部留存下来的台账、变更批价、隐蔽验收记录，对结算内容及过程确认的价款进行一项一项的核对，结算阶段新增争议事项的数量比之前大大降低。安置房项目实践表明，全过程造价管理各个环节的控制动作之间存在着一条不断传递的链条，前期估算、限额设计、清单编制所形成的约束条件一直制约着施工阶段变更的无序扩大，并使竣工结算阶段审核工作负担变轻。</w:t>
      </w:r>
    </w:p>
    <w:p w14:paraId="4B888703"/>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F74F90"/>
    <w:rsid w:val="42F74F90"/>
    <w:rsid w:val="7B2C55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2026-11-04T01:14:00Z</dcterms:created>
  <dcterms:modified xsi:type="dcterms:W3CDTF">2026-11-04T01:16:24Z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471FA02142744F74B6EB974DE460AB62_11</vt:lpwstr>
  </property>
  <property fmtid="{D5CDD505-2E9C-101B-9397-08002B2CF9AE}" pid="3" name="KSOProductBuildVer">
    <vt:lpwstr>2052-12.1.0.29161</vt:lpwstr>
  </property>
  <property fmtid="{D5CDD505-2E9C-101B-9397-08002B2CF9AE}" pid="4" name="KSOTemplateDocerSaveRecord">
    <vt:lpwstr>eyJoZGlkIjoiMGM2YzIzNzlkNTIxMmZkNmVjZmE0YjJkNTUxYmMwZWYiLCJ1c2VySWQiOiI1ODIxNTk5MDgifQ==</vt:lpwstr>
  </property>
</Properties>
</file>