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A59BF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（二）风险形态趋于交叉隐蔽。 互联网金融兼具金融与科技双重属性，业务跨行业、跨区域、跨场景运行，风险随之出现交叉叠加。同一平台往往既做支付，又做贷款、理财与保险，资金在不同板块之间快速流动，风险边界趋于模糊。线上交易的虚拟性与算法的黑箱特性叠加，使风险具有突出的隐蔽性，问题在爆发之前难以被外部察觉，而一旦暴露往往已累积较深、传染较快。信息不对称在数字环境下被进一步放大，普通投资者与消费者难以识别隐藏在复杂产品结构背后的真实风险，风险判断的难度显著上升。</w:t>
      </w:r>
    </w:p>
    <w:p w14:paraId="39042D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（三）顺周期与共振效应凸显。 风控模型大多依据历史数据训练，天然带有顺周期特征：经济上行阶段，历史数据表现良好，模型倾向于放松授信，放大信用扩张；经济下行阶段，历史数据集中恶化，模型又倾向于收紧授信，加剧信用收缩。随着互联网金融向其 "金融" 本质回归，风险的顺周期性及与传统金融风险的共振效应日趋显现 [3]。当多数机构使用相似的变量、相似的算法，风险敞口容易在同一时点集中暴露，个体层面的审慎选择反而可能累积成宏观层面的共振，放大系统性风险的隐患。</w:t>
      </w:r>
    </w:p>
    <w:p w14:paraId="2168F3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二、互联网金融风险管理的现实困境与成因</w:t>
      </w:r>
    </w:p>
    <w:p w14:paraId="0A8D5C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w:t>
      </w:r>
      <w:r>
        <w:rPr>
          <w:rFonts w:hint="eastAsia"/>
        </w:rPr>
        <w:t>规则供给跟不上技术的更新速度。模型更新的时间周期是周、月的，而监管规则的时间周期是年，两者之间有较大的时间差距。新业态、新模式经常是规则正式颁布前就先试水，风险在很长一段时间内处在没有约束的真空里。监管部门对于算法内部结构的了解，受到自身专业知识以及核查手段的限制，在事后监督的时候往往无能为力。不同的金融业态所具有的风险特征不同，单一规则很难满足所有的需要，在规则的制定过程中要进行统一性和针对性之间的反复权衡，造成规则出台周期变长。规则和技术创新之间出现错位的时候，风险管理就处在被动的追赶中，不能在风险萌芽时及时介入，这也是目前治理难题的一个重要原因。</w:t>
      </w:r>
    </w:p>
    <w:p w14:paraId="43A167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w:t>
      </w:r>
      <w:r>
        <w:rPr>
          <w:rFonts w:hint="eastAsia"/>
        </w:rPr>
        <w:t>机构能力及资源分布不均。大数据风控对于数据的储备、算力的投入以及技术人才的要求很高，资源大都集中于大型机构。金融科技和银行风险之间是线性的还是非线性的，并不是所有的银行都一样，随着银行规模的增大，金融科技对于银行的风险抑制作用会由无效转变为有效，之后非线性增强，具有双重门限</w:t>
      </w:r>
      <w:r>
        <w:rPr>
          <w:rFonts w:hint="eastAsia"/>
          <w:vertAlign w:val="superscript"/>
        </w:rPr>
        <w:t>[2]</w:t>
      </w:r>
      <w:r>
        <w:rPr>
          <w:rFonts w:hint="eastAsia"/>
        </w:rPr>
        <w:t>。中小机构科技投入难以转化为风控收益，风险改善不明显，反而会由于盲目模仿而增大风险敞口。头部机构凭借先发优势形成数据和算法壁垒，中小机构由于数据积累不足、算力与人才短缺，无法实现追赶。如果一直存在这样的差距，就会使整个行业整体风险抵御能力的均衡性受到影响。机构间能力断层不仅会对单个机构造成影响，也会降低整个行业的风险抵御能力的均衡度。</w:t>
      </w:r>
    </w:p>
    <w:p w14:paraId="444716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w:t>
      </w:r>
      <w:r>
        <w:rPr>
          <w:rFonts w:hint="eastAsia"/>
        </w:rPr>
        <w:t>责任界定和数据治理的缺失。数据是由各个部门采集的，模型是由不同的研究者进行开发的，决策是系统自行做出的，一旦出现风险，链条上各环节的责任主体就会处于无所适从的状态，无法及时的进行纠错和追责。数据质量没有统一的标准，采集、共享、使用边界不清，个人信息超量采集、违规流转的现象时有发生。数据共享机制尚未健全，各个机构之间缺少信息共享，造成重复采集的现象，也加大了数据孤岛以及信息盲区，从而影响到风险的及时发现以及协同处置。由于规模扩张的推动，一些机构为了追求放贷速度和覆盖面而忽视了模型质量以及数据合规方面的投入，从而加重了治理的不到位。风险责任不明，技术治理薄弱，使问题不能被及时发现，也不能纠正。</w:t>
      </w:r>
    </w:p>
    <w:p w14:paraId="21F857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三、数字经济时代互联网金融风险管理的优化路径</w:t>
      </w:r>
    </w:p>
    <w:p w14:paraId="1218D4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w:t>
      </w:r>
      <w:r>
        <w:rPr>
          <w:rFonts w:hint="eastAsia"/>
        </w:rPr>
        <w:t>筑牢数据要素治理的基础。数据质量是保证模型正常运转的基石，数据治理要对数据的采集、清洗、存储以及使用全过程实施治理。机构要确定数据来源是否合法，对于数据采集的范围、方法、目的做出明确的规定，不得进行超出业务需要的数据采集。另外还要建立数据质量检查机制，不定期对数据的完整性、正确性、及时性进行检验，对无效、异常样本进行剔除，不能让模型上的错误数据被重复放大，自我强化。对缺失值较多的、来源单一的、代表性不够的变量要慎重考虑是否可以将它们纳入模型当中，必要时用其他可信变量来代替，不能因为缺少重要的信息就做出重要的授信决定。</w:t>
      </w:r>
    </w:p>
    <w:p w14:paraId="1769B0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数据治理还有标准化的问题。目前各个机构的数据格式、字段口径不统一，同一个客户在不同的平台上所拥有的信息很难进行有效的比较，加大了风控的成本，并且也存在信息失真的风险。应当推进行业统一数据标准、共享接口的建设，在保证个人隐私的基础上使数据有序流动、互相认可，让数据在合规轨道内发挥更大的作用。数据安全方面要实行分级分类管理，客户身份信息、资金交易信息等敏感数据的安全等级要更高，严格限定访问权限，构建数据泄露应急处置预案。个人信息处理必须执行最小必要原则，只对业务有直接联系的数据进行采集，对于无关的信息不得保存，从源头上缩小数据被滥用的可能。数据治理需要解决“数据不干净”和“数据被滥用”这两个问题，只有给风控模型赋予可靠、合法、高质量的数据输入根基，后面的风险判定才会更加准确可信。数据治理效果的好坏最终体现在模型的输出和实际的风险是否一致上，只有用不断进行的质量回测来检验、校正才能达到效果。</w:t>
      </w:r>
    </w:p>
    <w:p w14:paraId="1B88FA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w:t>
      </w:r>
      <w:r>
        <w:rPr>
          <w:rFonts w:hint="eastAsia"/>
        </w:rPr>
        <w:t>加强算法透明以及模型治理。算法、模型是数据价值转化成风控能力的枢纽，也是目前治理薄弱环节。模型的选择应该将模型选择放在首位，即使用可以解释的算法，在使用深度学习这样的复杂模型的时候也要同步开发解释说明工具，使重要的决策有迹可寻，不能只给出结果而不能给出理由。机构在过程管理中需对算法版本、训练样本、特征权重、阈值设定等过程数据进行详细的留存，建立可以追溯的技术档案，有利于机构内部的自查，也给外部审计以及监管机构的核查提供方便。模型公平性检验应在模型上线之前完成，主要检查模型的变量选择是否合理，即是否存在由于变量选择不当而造成事实上的算法歧视。</w:t>
      </w:r>
    </w:p>
    <w:p w14:paraId="009B4B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模型上线并不意味着万事大吉，而应该建立贯穿于整个生命周期的动态维护体系。机构要继续对模型的运行效果实施追踪，定期做回测与校准，当经济状况、客群构成或者政策走向出现变动的时候，立刻评判模型是否依然合理，若非如此，则应当迅速做出调整，甚至终止使用，以免陈旧模型一直给出错误的结论。模型治理不能没有人的把关。算法再好也很难取代专业人员的经验判断，经济环境剧烈变动的时候，历史数据失去参考价值的时候，尤其需要人工复核的介入。机构需要确定模型决策和人工审批之间的界限，对于高风险、大额的业务留有人工复核的环节，不能让系统自动做出全部的决定。除此之外还要创建模型开发和风险管控的责任对应关系，谁开发谁负责，谁上线谁把关，把责任明确到具体的岗位上。由于金融科技对于风险的影响是不线性的、规模不同的，所以模型治理也存在着不同的要求，中小机构应该根据自身的实际情况逐步开展工作，从最简单的可靠模型开始做起，不能因为能力不足就盲目地堆砌复杂的算法；大型金融机构必须要有较高的模型稳健性要求，主动公布主要的算法逻辑来起到行业示范的作用。</w:t>
      </w:r>
    </w:p>
    <w:p w14:paraId="273867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w:t>
      </w:r>
      <w:r>
        <w:rPr>
          <w:rFonts w:hint="eastAsia"/>
        </w:rPr>
        <w:t>完善监管制度与激励约束。监管是风险治理的屏障，监管思维要从“管结果”转向“管过程”，把监管嵌入到模型运行、业务操作的全过程。数字金融发展以科技创新推动金融风险区域化降低，金融监管起到正向的调节作用</w:t>
      </w:r>
      <w:r>
        <w:rPr>
          <w:rFonts w:hint="eastAsia"/>
          <w:vertAlign w:val="superscript"/>
        </w:rPr>
        <w:t>[4]</w:t>
      </w:r>
      <w:r>
        <w:rPr>
          <w:rFonts w:hint="eastAsia"/>
        </w:rPr>
        <w:t>。这就说明监管与数字金融的发展并不是互相排斥的，监管越有效，技术所具有的风险抑制能力就越强，关键就在于监管方式要与技术特性相匹配。对处在探索期的新技术、新业务可以采用监管沙盒的方式在可控的风险下进行先试先行，通过监管双方相互博弈的过程，监管沙盒可以防止创新主体因资源投入和信息披露而产生的激励扭曲，促使更有利于社会福利的金融创新出现[5]。监管沙盒给创新留出了试错的余地，在风险可控的基础上，又对发展与安全进行合理的安排。</w:t>
      </w:r>
    </w:p>
    <w:p w14:paraId="473B5C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金融科技风险具有很强的内生性，业务创新和技术发展本身就是产生新风险的来源。已有研究基于内生风险的视角，联系传统金融系统性风险的加速器以及反馈机制，对金融科技业务和金融科技技术两个方面所导致的系统性风险加以整理剖析[6]。这就意味着仅仅依靠微观层面机构自律是远远不够的，监管要从宏观审慎的角度去考虑，把金融科技平台及其关联业务纳入到系统性风险的监测当中。对于体量大、关联度高平台应参照系统重要性机构标准实行差别化的监管，对资本占用、杠杆比率、数据集中度加以约束，防止风险从系统中蔓延。宏观审慎工具同微观审慎监管一起使用的时候，既要把单个机构的风险控制住，也要化解系统性风险的隐患。</w:t>
      </w:r>
    </w:p>
    <w:p w14:paraId="4707A6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同时要建立激励约束机制，给机构行为划定一个明确的底线。对于数据安全、消费者权益、资本充足这三个重要的领域，应该设置刚性的约束，确定违规所要承担的责任，增加违法成本，防止机构为了追求短期规模而降低风险控制。对跨行业、跨区域经营的大平台应当加强审慎监管以及功能监管，防止出现监管套利、风险外溢现象，对于资本无序扩张、数据垄断的行为应依照反垄断和公平竞争原则加以限制，保证市场秩序公平。规则更新要与技术进步保持一致的速度，对于已经成熟的领域要固定规则，给尚不清楚的地方留有观察与调整的余地，使监管处在稳中求活的状态之中。</w:t>
      </w:r>
    </w:p>
    <w:p w14:paraId="2DC2D4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w:t>
      </w:r>
      <w:r>
        <w:rPr>
          <w:rFonts w:hint="eastAsia"/>
        </w:rPr>
        <w:t>凝聚共治合力，消费者权益保护。互联网金融风险牵涉到监管方、机构以及消费者诸多主体，任何一个主体都无法独立应对，必须形成多主体参与的治理格局。监管部门之间要加强信息共享、协同监管，统一风险识别标准，消除监管真空和监管盲区，防止由于各自为政造成监管约束的真空地带；行业协会要发挥自律作用，共同建立统一的数据标准、算法规范和风险披露规则，弥补监管所无法触及的盲区；金融机构应承担起自身的责任，把风险控制融入到产品的设计、运营、售后的全过程，把风控的要求落实到每一个环节上。</w:t>
      </w:r>
    </w:p>
    <w:p w14:paraId="79F53B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消费者一方也不能忽视。数字金融越复杂就越容易造成信息不对称，普通用户很难分辨出隐藏在复杂产品背后的风险，很容易在诱导性的宣传下过度借贷或者误买产品。机构要采用通俗易懂的方式向消费者披露主要风险，并且要清楚地列出收费和责任条款，不得夸大收益，隐瞒风险。互联网平台客户覆盖面广、接触面大，一旦发生侵犯消费者权益的行为，所造成的危害也会十分严重。因此对于平台的营销宣传、收费定价、信息披露等行为，需要加以严格的监管，将消费者保护关口前移到业务开展之前。监管部门以及机构应当加大金融知识宣传、风险提示力度，提高消费者对于高息陷阱、征信损失、信息泄露等风险的识别能力。还要开辟有效的渠道来解决消费者合法权益受到侵害后的投诉、纠纷问题，使消费者在遇到权益受损的情况下有地方可诉、有法可依。还应引导消费者树立量入为出的消费观，正确看待信用工具，防止因为过度依靠借贷陷入债务危机。</w:t>
      </w:r>
    </w:p>
    <w:p w14:paraId="506D82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结语</w:t>
      </w:r>
    </w:p>
    <w:p w14:paraId="7F9C24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数字经济给互联网金融带来了效率提升，也把风险管理问题从资金端转移到数据、算法端。风险特征发生改变的时候，治理思想也要随之改变。数据要素被滥用、算法不透明、模型失效、规则落后叠加在一起的时候，只有使数据更可信、算法更透明、模型更稳健、规则更及时，并动员监管、机构和消费者一起参与进来，才能在效率与安全之间取得一个相对平衡的解决方案。风险治理没有永久不变的解决办法，在动态</w:t>
      </w:r>
      <w:r>
        <w:rPr>
          <w:rFonts w:hint="eastAsia"/>
          <w:lang w:val="en-US" w:eastAsia="zh-CN"/>
        </w:rPr>
        <w:t>过程中</w:t>
      </w:r>
      <w:r>
        <w:rPr>
          <w:rFonts w:hint="eastAsia"/>
        </w:rPr>
        <w:t>要对方向进行及时的校准，对工具进行不断的改进，才能在数字经济的洪流中筑牢金融安全的底线，让互联网金融行稳致远。</w:t>
      </w:r>
    </w:p>
    <w:p w14:paraId="7DDC244C">
      <w:pPr>
        <w:keepNext w:val="0"/>
        <w:keepLines w:val="0"/>
        <w:pageBreakBefore w:val="0"/>
        <w:widowControl w:val="0"/>
        <w:kinsoku/>
        <w:wordWrap/>
        <w:overflowPunct/>
        <w:topLinePunct w:val="0"/>
        <w:autoSpaceDE/>
        <w:autoSpaceDN/>
        <w:bidi w:val="0"/>
        <w:adjustRightInd/>
        <w:snapToGrid/>
        <w:jc w:val="both"/>
        <w:textAlignment w:val="auto"/>
        <w:rPr>
          <w:rFonts w:ascii="Times New Roman" w:eastAsia="宋体" w:hAnsi="Times New Roman" w:cs="宋体" w:hint="default"/>
          <w:sz w:val="21"/>
          <w:lang w:val="en-US" w:eastAsia="zh-CN"/>
        </w:rPr>
      </w:pPr>
    </w:p>
    <w:p w14:paraId="0281225D">
      <w:pPr>
        <w:keepNext w:val="0"/>
        <w:keepLines w:val="0"/>
        <w:pageBreakBefore w:val="0"/>
        <w:widowControl w:val="0"/>
        <w:pBdr>
          <w:bottom w:val="single" w:sz="4" w:space="0" w:color="auto"/>
        </w:pBdr>
        <w:kinsoku/>
        <w:wordWrap/>
        <w:overflowPunct/>
        <w:topLinePunct w:val="0"/>
        <w:autoSpaceDE/>
        <w:autoSpaceDN/>
        <w:bidi w:val="0"/>
        <w:adjustRightInd/>
        <w:snapToGrid/>
        <w:jc w:val="both"/>
        <w:textAlignment w:val="auto"/>
        <w:rPr>
          <w:rFonts w:ascii="Times New Roman" w:eastAsia="宋体" w:hAnsi="Times New Roman" w:cs="宋体" w:hint="default"/>
          <w:sz w:val="21"/>
          <w:lang w:val="en-US" w:eastAsia="zh-CN"/>
        </w:rPr>
      </w:pPr>
    </w:p>
    <w:p w14:paraId="70A14A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千米是小学长度单位教学的难点，千米是学生无法直接用眼睛看到的大尺度单位，常规的纸笔作业重在进行换算练习，容易出现“会算但不会认识千米”的状况。本文用跨学科实践作业作为载体，把数学、体育、综合实践、信息技术等学科融合起来，创建出一个包含 “标定基准、实地感受、估测检验、展示评价” 的实践环节，使学生从纸上作业中走出来，用行走和记录去建立量感。本文从作业价值取向、设计思路、实施途径、评价方式、实践反思等几个方面给小学数学量感类跨学科作业的设计提供一份样本。</w:t>
      </w:r>
    </w:p>
    <w:p w14:paraId="1BB6FC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关键词：千米的认识；跨学科实践作业；量感；小学数学</w:t>
      </w:r>
    </w:p>
    <w:p w14:paraId="4B5ED76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引言：</w:t>
      </w:r>
    </w:p>
    <w:p w14:paraId="3621BD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人教版三年级上册《千米的认识》一课教材中包含跑道情境、单位换算例题以及“做一做”实践任务，目的在于让学生通过真实的体验来建构抽象的概念。常态教学当中，实践活动的内容大都只是教学过程结束时的一项额外活动，教学的重心也转移到了进率背诵以及纸笔换算上。学生能够熟练地进行单位间的换算，但是不能正确判断身边一段路程的长短，量感的培养有明显的断裂。本文以该问题为基础设计数学与综合实践作业，把教材素材转化为行走的任务来开展实践，探究量感落地的方法。</w:t>
      </w:r>
    </w:p>
    <w:p w14:paraId="113C04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一、跨学科实践作业的价值</w:t>
      </w:r>
    </w:p>
    <w:p w14:paraId="473B56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（一）打破学科壁垒，让知识在真实问题中自然整合</w:t>
      </w:r>
    </w:p>
    <w:p w14:paraId="2CAE26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现实生活里许多问题不是某一个学科可以独立解决的，必须用多种学科的知识和方法来共同应对。跨学科实践作业用真实的任务作为载体，让学生在解决实际问题的过程中调动已有经验、开展探究，把原本分散的知识在运用过程中</w:t>
      </w:r>
      <w:bookmarkStart w:id="0" w:name="_GoBack"/>
      <w:bookmarkEnd w:id="0"/>
      <w:r>
        <w:rPr>
          <w:rFonts w:hint="eastAsia"/>
          <w:lang w:val="en-US" w:eastAsia="zh-CN"/>
        </w:rPr>
        <w:t>联系起来，由“记住知识”向“会用知识”转变。</w:t>
      </w:r>
    </w:p>
    <w:p w14:paraId="307D706D">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82250C"/>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1F75782"/>
    <w:rsid w:val="12563740"/>
    <w:rsid w:val="13A66595"/>
    <w:rsid w:val="164F566E"/>
    <w:rsid w:val="17DC6866"/>
    <w:rsid w:val="1CF547D5"/>
    <w:rsid w:val="1EAD1FDB"/>
    <w:rsid w:val="207E438A"/>
    <w:rsid w:val="21215B8F"/>
    <w:rsid w:val="217750CC"/>
    <w:rsid w:val="230D3FD3"/>
    <w:rsid w:val="23556BE7"/>
    <w:rsid w:val="24891969"/>
    <w:rsid w:val="25D47A17"/>
    <w:rsid w:val="27ED30F4"/>
    <w:rsid w:val="284B02FA"/>
    <w:rsid w:val="28EF6FB7"/>
    <w:rsid w:val="2B124B1E"/>
    <w:rsid w:val="2CD63AFA"/>
    <w:rsid w:val="2D5B7244"/>
    <w:rsid w:val="2DAC09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7AC78D3"/>
    <w:rsid w:val="589F7D46"/>
    <w:rsid w:val="5A942495"/>
    <w:rsid w:val="5C0276AD"/>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3829</Words>
  <Characters>3964</Characters>
  <Application>Microsoft Office Word</Application>
  <DocSecurity>0</DocSecurity>
  <Lines>0</Lines>
  <Paragraphs>0</Paragraphs>
  <ScaleCrop>false</ScaleCrop>
  <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2026-11-03T18:37:54Z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