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2FF687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eastAsia="宋体" w:hAnsi="Times New Roman" w:cs="宋体" w:hint="eastAsia"/>
          <w:sz w:val="21"/>
        </w:rPr>
      </w:pPr>
      <w:r>
        <w:rPr>
          <w:rFonts w:ascii="Times New Roman" w:eastAsia="宋体" w:hAnsi="Times New Roman" w:cs="宋体" w:hint="eastAsia"/>
          <w:sz w:val="21"/>
        </w:rPr>
        <w:t>智慧教育平台微课资源支撑下初中英语课前自主预习的实效研究</w:t>
      </w:r>
    </w:p>
    <w:p w14:paraId="0CEE22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eastAsia="宋体" w:hAnsi="Times New Roman" w:cs="宋体" w:hint="eastAsia"/>
          <w:sz w:val="21"/>
        </w:rPr>
      </w:pPr>
      <w:r>
        <w:rPr>
          <w:rFonts w:ascii="Times New Roman" w:eastAsia="宋体" w:hAnsi="Times New Roman" w:cs="宋体" w:hint="eastAsia"/>
          <w:sz w:val="21"/>
        </w:rPr>
        <w:t>——以词汇与听说模块为例</w:t>
      </w:r>
    </w:p>
    <w:p w14:paraId="152D79B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imes New Roman" w:eastAsia="宋体" w:hAnsi="Times New Roman" w:cs="宋体" w:hint="eastAsia"/>
          <w:sz w:val="21"/>
          <w:lang w:eastAsia="zh-CN"/>
        </w:rPr>
      </w:pPr>
      <w:r>
        <w:rPr>
          <w:rFonts w:ascii="Times New Roman" w:eastAsia="宋体" w:hAnsi="Times New Roman" w:cs="宋体" w:hint="eastAsia"/>
          <w:sz w:val="21"/>
        </w:rPr>
        <w:t>一、工作背景</w:t>
      </w:r>
    </w:p>
    <w:p w14:paraId="02D3CE0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我校初中学段学生英语基础有好有坏。班上有的孩子从小跟着外教练口语课练习，课堂上能够流畅地开口说英语；有的孩子连基本的元音都读不准，一看到生词就吓得脸色苍白。进入初中后本册教材Unit 1 The Changing World到Unit 4 Our Memory的单元词汇量和听说内容都比以前多，Section A听力对话、Section B阅读语篇对学生的听说能力也同步提高了，词汇也不再是孤立的背诵，在“change”、“inspiring”、“learning”、“memory”这些主题语境中灵活地使用。课堂时间毕竟有限，老师很难在四十分钟内把所有的词汇讲透，而且不能让每一个学生都练听练说，听力、口语训练只能蜻蜓点水。</w:t>
      </w:r>
    </w:p>
    <w:p w14:paraId="0915600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问题最突出的地方就是课前。很多学生的预</w:t>
      </w:r>
      <w:r>
        <w:rPr>
          <w:rFonts w:ascii="Times New Roman" w:eastAsia="宋体" w:hAnsi="Times New Roman" w:cs="宋体" w:hint="eastAsia"/>
          <w:sz w:val="21"/>
          <w:lang w:eastAsia="zh-CN"/>
        </w:rPr>
        <w:t>习</w:t>
      </w:r>
      <w:r>
        <w:rPr>
          <w:rFonts w:ascii="Times New Roman" w:eastAsia="宋体" w:hAnsi="Times New Roman" w:cs="宋体" w:hint="eastAsia"/>
          <w:sz w:val="21"/>
        </w:rPr>
        <w:t>是只</w:t>
      </w:r>
      <w:r>
        <w:rPr>
          <w:rFonts w:ascii="Times New Roman" w:eastAsia="宋体" w:hAnsi="Times New Roman" w:cs="宋体" w:hint="eastAsia"/>
          <w:sz w:val="21"/>
          <w:lang w:eastAsia="zh-CN"/>
        </w:rPr>
        <w:t>翻</w:t>
      </w:r>
      <w:r>
        <w:rPr>
          <w:rFonts w:ascii="Times New Roman" w:eastAsia="宋体" w:hAnsi="Times New Roman" w:cs="宋体" w:hint="eastAsia"/>
          <w:sz w:val="21"/>
        </w:rPr>
        <w:t>看课本上的一篇文章，抄写单词表，没有标准的音频跟读，没有方法上的指导，生词读不准、记不住，听不懂听力材料。课堂上播放听力的时候，跟不上或听不清的学生只能处于被动的状态，开口表达会更加困难。教师布置预习缺少反馈方式，不知道学生掌握的程度，第二天只能按照统一的进度继续教学，基础较差的学生渐渐掉队，差距越来越大。另外词汇记忆本来就很容易遗忘，课上讲过的词隔天问起来也会有生疏的地方，听说训练需要先听再说，反复输入，没有课前预热，课堂效果就大打折扣。家长辅导英语大多无能为力，把单词跟读、预听的任务交由平台微课完成，反而减轻了家长的负担。同时初中英语课时少、任务重，每单元要完成听说读写任务，还要兼顾语法和写作，教师不能兼顾。词汇量增加了，课堂来不及消化，听说训练需要有较多的开口机会，统一授课的时候有同学无法轮到。现实状况使课前自主预习成了减轻课堂压力的良药。</w:t>
      </w:r>
    </w:p>
    <w:p w14:paraId="27FD067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反复思考的问题就是，课前自由时间是否可以被充分利用，每个学生按照自己的节奏进行词汇跟读和听说预热，使课堂从不断重复的基础训练中解放出来，真正地进行语言运用。</w:t>
      </w:r>
    </w:p>
    <w:p w14:paraId="45106EF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imes New Roman" w:eastAsia="宋体" w:hAnsi="Times New Roman" w:cs="宋体" w:hint="eastAsia"/>
          <w:sz w:val="21"/>
          <w:lang w:eastAsia="zh-CN"/>
        </w:rPr>
      </w:pPr>
      <w:r>
        <w:rPr>
          <w:rFonts w:ascii="Times New Roman" w:eastAsia="宋体" w:hAnsi="Times New Roman" w:cs="宋体" w:hint="eastAsia"/>
          <w:sz w:val="21"/>
        </w:rPr>
        <w:t>二、工作举措</w:t>
      </w:r>
    </w:p>
    <w:p w14:paraId="2C9E0CD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第一单元词汇用短小分层的微课代替抄写的作业，课前跟读不再只是写写。以本册Unit1到Unit4单元核心词汇为基础，用标准发音</w:t>
      </w:r>
      <w:r>
        <w:rPr>
          <w:rFonts w:ascii="Times New Roman" w:eastAsia="宋体" w:hAnsi="Times New Roman" w:cs="宋体" w:hint="eastAsia"/>
          <w:sz w:val="21"/>
          <w:lang w:eastAsia="zh-CN"/>
        </w:rPr>
        <w:t>、慢</w:t>
      </w:r>
      <w:r>
        <w:rPr>
          <w:rFonts w:ascii="Times New Roman" w:eastAsia="宋体" w:hAnsi="Times New Roman" w:cs="宋体" w:hint="eastAsia"/>
          <w:sz w:val="21"/>
        </w:rPr>
        <w:t>速跟读、教材原文句、常用搭配四个层次对</w:t>
      </w:r>
      <w:r>
        <w:rPr>
          <w:rFonts w:ascii="Times New Roman" w:eastAsia="宋体" w:hAnsi="Times New Roman" w:cs="宋体" w:hint="eastAsia"/>
          <w:sz w:val="21"/>
          <w:lang w:eastAsia="zh-CN"/>
        </w:rPr>
        <w:t>每</w:t>
      </w:r>
      <w:r>
        <w:rPr>
          <w:rFonts w:ascii="Times New Roman" w:eastAsia="宋体" w:hAnsi="Times New Roman" w:cs="宋体" w:hint="eastAsia"/>
          <w:sz w:val="21"/>
        </w:rPr>
        <w:t>一个词制作成三五分钟的小微课。学生课前打开微课，先听标准的发音，再跟着慢速跟读，一个一个读对之后再往下走。比单纯的抄写单词表要多一些听觉上的输入，学生可以听到、模仿，微课末尾有跟读自测，读对了就会记得牢。Unit 2的inspiring，courage等词与教材中关于贝聿铭、王亚平的原句结合起来，使学生在记忆的时候能带着语境来记住这些单词。对于发音相近、容易混淆的单词，在微课中特意将其放在一起对比，学生可以提前获得比较明确的第一印象，上完课之后再进行巩固也不会有太大的困难。</w:t>
      </w:r>
    </w:p>
    <w:p w14:paraId="07FAB81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第二，把Section A听力对话制作成“</w:t>
      </w:r>
      <w:r>
        <w:rPr>
          <w:rFonts w:ascii="Times New Roman" w:eastAsia="宋体" w:hAnsi="Times New Roman" w:cs="宋体" w:hint="eastAsia"/>
          <w:sz w:val="21"/>
          <w:lang w:eastAsia="zh-CN"/>
        </w:rPr>
        <w:t>预</w:t>
      </w:r>
      <w:r>
        <w:rPr>
          <w:rFonts w:ascii="Times New Roman" w:eastAsia="宋体" w:hAnsi="Times New Roman" w:cs="宋体" w:hint="eastAsia"/>
          <w:sz w:val="21"/>
        </w:rPr>
        <w:t>听预热”</w:t>
      </w:r>
      <w:r>
        <w:rPr>
          <w:rFonts w:ascii="Times New Roman" w:eastAsia="宋体" w:hAnsi="Times New Roman" w:cs="宋体" w:hint="eastAsia"/>
          <w:sz w:val="21"/>
          <w:lang w:eastAsia="zh-CN"/>
        </w:rPr>
        <w:t>的</w:t>
      </w:r>
      <w:r>
        <w:rPr>
          <w:rFonts w:ascii="Times New Roman" w:eastAsia="宋体" w:hAnsi="Times New Roman" w:cs="宋体" w:hint="eastAsia"/>
          <w:sz w:val="21"/>
        </w:rPr>
        <w:t>微课。截取Unit 1至Unit 4的Unit Section A听力材料，比如Unit 1中George父亲回乡的电话通话、Unit 3英语俱乐部里同学们讨论学习方法的对话，制作有场景提示的预听微课。微课先交代对话的场景及人物关系，使学生有所期待，再给出几个重要的问题，让学生边听边关注信息，家乡的变化有哪些、不同的学生各自的学习方法是怎样的。课前学生对材料有了大概的印象，课堂上再听时也已经不是第一次听，听懂把握能力都有了很大的提高，回答问题的自信心也增强了。由于各个学生听力起点不一样，因此我们把微课上的主要问题做成预习单，学生边听边记，课堂讨论的时候就有话可说。</w:t>
      </w:r>
    </w:p>
    <w:p w14:paraId="3514025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第三点就是完成预习任务到课堂反馈的闭环。教师通过智慧教育平台布置词汇跟读任务、预听任务，平台会自动保存学生每次跟读的次数以及发音评分和预习任务完成情况。次日上课之前教师就先查看数据，哪个单词全班同学都读不准，哪一段对话大部分同学没有听懂，那么课堂就集中讲这方面的内容。有限时间用在最</w:t>
      </w:r>
      <w:r>
        <w:rPr>
          <w:rFonts w:ascii="Times New Roman" w:eastAsia="宋体" w:hAnsi="Times New Roman" w:cs="宋体" w:hint="eastAsia"/>
          <w:sz w:val="21"/>
          <w:lang w:eastAsia="zh-CN"/>
        </w:rPr>
        <w:t>需要</w:t>
      </w:r>
      <w:r>
        <w:rPr>
          <w:rFonts w:ascii="Times New Roman" w:eastAsia="宋体" w:hAnsi="Times New Roman" w:cs="宋体" w:hint="eastAsia"/>
          <w:sz w:val="21"/>
        </w:rPr>
        <w:t>的地方，教学重</w:t>
      </w:r>
      <w:r>
        <w:rPr>
          <w:rFonts w:ascii="Times New Roman" w:eastAsia="宋体" w:hAnsi="Times New Roman" w:cs="宋体" w:hint="eastAsia"/>
          <w:sz w:val="21"/>
          <w:lang w:eastAsia="zh-CN"/>
        </w:rPr>
        <w:t>点</w:t>
      </w:r>
      <w:r>
        <w:rPr>
          <w:rFonts w:ascii="Times New Roman" w:eastAsia="宋体" w:hAnsi="Times New Roman" w:cs="宋体" w:hint="eastAsia"/>
          <w:sz w:val="21"/>
        </w:rPr>
        <w:t>由“</w:t>
      </w:r>
      <w:r>
        <w:rPr>
          <w:rFonts w:ascii="Times New Roman" w:eastAsia="宋体" w:hAnsi="Times New Roman" w:cs="宋体" w:hint="eastAsia"/>
          <w:sz w:val="21"/>
          <w:lang w:eastAsia="zh-CN"/>
        </w:rPr>
        <w:t>教</w:t>
      </w:r>
      <w:r>
        <w:rPr>
          <w:rFonts w:ascii="Times New Roman" w:eastAsia="宋体" w:hAnsi="Times New Roman" w:cs="宋体" w:hint="eastAsia"/>
          <w:sz w:val="21"/>
        </w:rPr>
        <w:t>师凭感觉”转向</w:t>
      </w:r>
      <w:r>
        <w:rPr>
          <w:rFonts w:ascii="Times New Roman" w:eastAsia="宋体" w:hAnsi="Times New Roman" w:cs="宋体" w:hint="eastAsia"/>
          <w:sz w:val="21"/>
          <w:lang w:eastAsia="zh-CN"/>
        </w:rPr>
        <w:t>“</w:t>
      </w:r>
      <w:r>
        <w:rPr>
          <w:rFonts w:ascii="Times New Roman" w:eastAsia="宋体" w:hAnsi="Times New Roman" w:cs="宋体" w:hint="eastAsia"/>
          <w:sz w:val="21"/>
        </w:rPr>
        <w:t>数据来定重点”，课前预习由虚变实、有实效。教师可以将发音测评过程中出现的问题带到课堂上，让学生听自己的录音和标准音进行比较，找出读不准的原因，这样的反馈比笼统</w:t>
      </w:r>
      <w:r>
        <w:rPr>
          <w:rFonts w:ascii="Times New Roman" w:eastAsia="宋体" w:hAnsi="Times New Roman" w:cs="宋体" w:hint="eastAsia"/>
          <w:sz w:val="21"/>
          <w:lang w:eastAsia="zh-CN"/>
        </w:rPr>
        <w:t>的</w:t>
      </w:r>
      <w:r>
        <w:rPr>
          <w:rFonts w:ascii="Times New Roman" w:eastAsia="宋体" w:hAnsi="Times New Roman" w:cs="宋体" w:hint="eastAsia"/>
          <w:sz w:val="21"/>
        </w:rPr>
        <w:t>“多读几</w:t>
      </w:r>
      <w:r>
        <w:rPr>
          <w:rFonts w:ascii="Times New Roman" w:eastAsia="宋体" w:hAnsi="Times New Roman" w:cs="宋体" w:hint="eastAsia"/>
          <w:sz w:val="21"/>
          <w:lang w:eastAsia="zh-CN"/>
        </w:rPr>
        <w:t>遍</w:t>
      </w:r>
      <w:r>
        <w:rPr>
          <w:rFonts w:ascii="Times New Roman" w:eastAsia="宋体" w:hAnsi="Times New Roman" w:cs="宋体" w:hint="eastAsia"/>
          <w:sz w:val="21"/>
        </w:rPr>
        <w:t>”更有指向性。</w:t>
      </w:r>
    </w:p>
    <w:p w14:paraId="764BA4D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第四，根据学生的实际分层来布置预习作业。数据反馈使我们了解不同的学生起点不同，基础较差的学生预习任务就是完成词汇的跟读和预听，把发音准确，大意听懂就可以了，中等水平的学生在此基础上跟读示范对话、补全听力填空，学有余力的学生用单元词汇复述对话大意，甚至可以自己编一段口语。每一个学生都可以按照自己的速度前进，课堂起点被拉近了，老师才有更多的时间去进行有目的的指点。</w:t>
      </w:r>
    </w:p>
    <w:p w14:paraId="26F52AD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第五，备课组分工制作微课，把可以分享的校本资源制作成可共享的资源。将Unit1到Unit4的词汇、听说微课拆分成若干部分，备课组一起讨论脚本、轮流录制、互相审查后全部存入平台目录，全组共享。因此微课不是某一个老师零星制作的成果，而是可以反复使用、不断更新的校本资源，各班可以灵活选取使用，做法更容易持久地坚持下去。学期末将各班使用情况以及学生的反馈汇总起来，再对下一轮的微课做出相应的调整，使资源越来越顺手。</w:t>
      </w:r>
    </w:p>
    <w:p w14:paraId="0FDF793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imes New Roman" w:eastAsia="宋体" w:hAnsi="Times New Roman" w:cs="宋体" w:hint="eastAsia"/>
          <w:sz w:val="21"/>
          <w:lang w:eastAsia="zh-CN"/>
        </w:rPr>
      </w:pPr>
      <w:r>
        <w:rPr>
          <w:rFonts w:ascii="Times New Roman" w:eastAsia="宋体" w:hAnsi="Times New Roman" w:cs="宋体" w:hint="eastAsia"/>
          <w:sz w:val="21"/>
        </w:rPr>
        <w:t>三、工作成效</w:t>
      </w:r>
    </w:p>
    <w:p w14:paraId="1BD2F16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经过一段时间的运行之后，再进行前后对比。课前预习率提高，词汇跟读由应付式打卡变成了学生愿意反复练习、有发音反馈的任务，课堂听写正确率比推行前高。学生不再对听力材料一无所知，可以很快进入状态，积极举手发言的学生也多了起来，开口说英语的欲望增强。</w:t>
      </w:r>
    </w:p>
    <w:p w14:paraId="0A6768C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课堂节奏不一样了。过去四十分钟内有近一半的时间花在读单词、听录音上，学生提前准备好了之后，课堂可以把更多的精力用到语言的运用上，在Unit2中让学生讨论自己最崇拜的人，在Unit3中讨论适合自己的学习方法，在Unit4中分享记忆小技巧。课前跟读的支持使那些跟不上学习节奏的学生慢慢能跟上听读的任务，又找到了学习的信心。</w:t>
      </w:r>
    </w:p>
    <w:p w14:paraId="23741BE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班里一个基础差的学生平时上课很少举手，但是经过一段时间的词汇跟读、发音测试后，他的成绩越来越好，最后在王亚平的Unit 2讨论课上第一次举手发言。类似的情况并不罕见，学生进步的时候也体现出课前准备的实在性。家长减轻了对孩子的辅导压力，孩子回家可以自己对着微课进行跟读，不需要家长一直教；同组的英语老师认为，本班学生预习的积极性提高了，课堂提问的回答面也变大了。</w:t>
      </w:r>
    </w:p>
    <w:p w14:paraId="43FD821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以上结果是经过长时间的记录、课堂观察得到的，是初步的。每个班级、每个孩子还存在一定的差别，对个别学生长久的变化还要有较长的跟踪，会继续客观地检验、修正，看到亮点的时候也不忘缺陷。</w:t>
      </w:r>
    </w:p>
    <w:p w14:paraId="04555B9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imes New Roman" w:eastAsia="宋体" w:hAnsi="Times New Roman" w:cs="宋体" w:hint="eastAsia"/>
          <w:sz w:val="21"/>
          <w:lang w:eastAsia="zh-CN"/>
        </w:rPr>
      </w:pPr>
      <w:r>
        <w:rPr>
          <w:rFonts w:ascii="Times New Roman" w:eastAsia="宋体" w:hAnsi="Times New Roman" w:cs="宋体" w:hint="eastAsia"/>
          <w:sz w:val="21"/>
        </w:rPr>
        <w:t>四、工作经验</w:t>
      </w:r>
    </w:p>
    <w:p w14:paraId="6BBE25F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课前预习做好是关键，要找到教材内容和平台资源的契合点。微课不在于多，而在于准。把学生最易感到恐惧、课堂最耗时的词汇和听说部分拆成若干个小节，在课前用五到十分钟的微课带领学生走一遍，比把整节课延长好，更能顾及学生不同的学习基础。</w:t>
      </w:r>
    </w:p>
    <w:p w14:paraId="3DFB16A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第二点就是预习任务要有反馈性、分层性。没有数据的预习是“布置</w:t>
      </w:r>
      <w:r>
        <w:rPr>
          <w:rFonts w:ascii="Times New Roman" w:eastAsia="宋体" w:hAnsi="Times New Roman" w:cs="宋体" w:hint="eastAsia"/>
          <w:sz w:val="21"/>
          <w:lang w:eastAsia="zh-CN"/>
        </w:rPr>
        <w:t>了看</w:t>
      </w:r>
      <w:r>
        <w:rPr>
          <w:rFonts w:ascii="Times New Roman" w:eastAsia="宋体" w:hAnsi="Times New Roman" w:cs="宋体" w:hint="eastAsia"/>
          <w:sz w:val="21"/>
        </w:rPr>
        <w:t>不见”，有了平台</w:t>
      </w:r>
      <w:r>
        <w:rPr>
          <w:rFonts w:ascii="Times New Roman" w:eastAsia="宋体" w:hAnsi="Times New Roman" w:cs="宋体" w:hint="eastAsia"/>
          <w:sz w:val="21"/>
          <w:lang w:eastAsia="zh-CN"/>
        </w:rPr>
        <w:t>记</w:t>
      </w:r>
      <w:r>
        <w:rPr>
          <w:rFonts w:ascii="Times New Roman" w:eastAsia="宋体" w:hAnsi="Times New Roman" w:cs="宋体" w:hint="eastAsia"/>
          <w:sz w:val="21"/>
        </w:rPr>
        <w:t>录，教师才能知道每一个孩子的起点在哪里，从而给每一个孩子布置不同的难度作业。学生课前有了可以做的事，有可以参照的标准，</w:t>
      </w:r>
      <w:r>
        <w:rPr>
          <w:rFonts w:ascii="Times New Roman" w:eastAsia="宋体" w:hAnsi="Times New Roman" w:cs="宋体" w:hint="eastAsia"/>
          <w:sz w:val="21"/>
          <w:lang w:eastAsia="zh-CN"/>
        </w:rPr>
        <w:t>课</w:t>
      </w:r>
      <w:r>
        <w:rPr>
          <w:rFonts w:ascii="Times New Roman" w:eastAsia="宋体" w:hAnsi="Times New Roman" w:cs="宋体" w:hint="eastAsia"/>
          <w:sz w:val="21"/>
        </w:rPr>
        <w:t>堂就从“老师带全班</w:t>
      </w:r>
      <w:r>
        <w:rPr>
          <w:rFonts w:ascii="Times New Roman" w:eastAsia="宋体" w:hAnsi="Times New Roman" w:cs="宋体" w:hint="eastAsia"/>
          <w:sz w:val="21"/>
          <w:lang w:eastAsia="zh-CN"/>
        </w:rPr>
        <w:t>一</w:t>
      </w:r>
      <w:r>
        <w:rPr>
          <w:rFonts w:ascii="Times New Roman" w:eastAsia="宋体" w:hAnsi="Times New Roman" w:cs="宋体" w:hint="eastAsia"/>
          <w:sz w:val="21"/>
        </w:rPr>
        <w:t>起走</w:t>
      </w:r>
      <w:r>
        <w:rPr>
          <w:rFonts w:ascii="Times New Roman" w:eastAsia="宋体" w:hAnsi="Times New Roman" w:cs="宋体" w:hint="eastAsia"/>
          <w:sz w:val="21"/>
          <w:lang w:eastAsia="zh-CN"/>
        </w:rPr>
        <w:t>”</w:t>
      </w:r>
      <w:r>
        <w:rPr>
          <w:rFonts w:ascii="Times New Roman" w:eastAsia="宋体" w:hAnsi="Times New Roman" w:cs="宋体" w:hint="eastAsia"/>
          <w:sz w:val="21"/>
        </w:rPr>
        <w:t>变为“学生带着自己的准备</w:t>
      </w:r>
      <w:r>
        <w:rPr>
          <w:rFonts w:ascii="Times New Roman" w:eastAsia="宋体" w:hAnsi="Times New Roman" w:cs="宋体" w:hint="eastAsia"/>
          <w:sz w:val="21"/>
          <w:lang w:eastAsia="zh-CN"/>
        </w:rPr>
        <w:t>参</w:t>
      </w:r>
      <w:r>
        <w:rPr>
          <w:rFonts w:ascii="Times New Roman" w:eastAsia="宋体" w:hAnsi="Times New Roman" w:cs="宋体" w:hint="eastAsia"/>
          <w:sz w:val="21"/>
        </w:rPr>
        <w:t>与进来”，师生之间的交流更精准、更高效。</w:t>
      </w:r>
    </w:p>
    <w:p w14:paraId="532A66B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Times New Roman" w:eastAsia="宋体" w:hAnsi="Times New Roman" w:cs="宋体" w:hint="eastAsia"/>
          <w:sz w:val="21"/>
          <w:lang w:eastAsia="zh-CN"/>
        </w:rPr>
      </w:pPr>
      <w:r>
        <w:rPr>
          <w:rFonts w:ascii="Times New Roman" w:eastAsia="宋体" w:hAnsi="Times New Roman" w:cs="宋体" w:hint="eastAsia"/>
          <w:sz w:val="21"/>
        </w:rPr>
        <w:t>整理出一套可遵循的流程来梳理单元词汇和听力要点，制作相应的微课，发布到平台后发布跟读、预听任务，在第二天根据数据反馈调整课堂，根据起点分层布置下一步任务。其他年级及英语老师可以参照使用，结合自己班级情况做微调。同时我们也提醒平台与微课只是工具，真正的起作用的是教师对教材的掌握以及对学生的了解，用好工具才能使课前预习成为学生真正受益。分层不是给不同学生贴上固定标签的过程，而是用数据作为依据，根据实际情况动态调整的过程，起点变了，任务也跟着变，保证所有的学生都能得到锻炼。下一步将把课前预习的做法延伸到阅读模块，使更多的学生在课</w:t>
      </w:r>
      <w:r>
        <w:rPr>
          <w:rFonts w:ascii="Times New Roman" w:eastAsia="宋体" w:hAnsi="Times New Roman" w:cs="宋体" w:hint="eastAsia"/>
          <w:sz w:val="21"/>
          <w:lang w:eastAsia="zh-CN"/>
        </w:rPr>
        <w:t>前</w:t>
      </w:r>
      <w:r>
        <w:rPr>
          <w:rFonts w:ascii="Times New Roman" w:eastAsia="宋体" w:hAnsi="Times New Roman" w:cs="宋体" w:hint="eastAsia"/>
          <w:sz w:val="21"/>
        </w:rPr>
        <w:t>预习中得</w:t>
      </w:r>
      <w:r>
        <w:rPr>
          <w:rFonts w:ascii="Times New Roman" w:eastAsia="宋体" w:hAnsi="Times New Roman" w:cs="宋体" w:hint="eastAsia"/>
          <w:sz w:val="21"/>
          <w:lang w:eastAsia="zh-CN"/>
        </w:rPr>
        <w:t>到</w:t>
      </w:r>
      <w:r>
        <w:rPr>
          <w:rFonts w:ascii="Times New Roman" w:eastAsia="宋体" w:hAnsi="Times New Roman" w:cs="宋体" w:hint="eastAsia"/>
          <w:sz w:val="21"/>
        </w:rPr>
        <w:t>收益。</w:t>
      </w:r>
    </w:p>
    <w:p w14:paraId="2CF12CE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Times New Roman" w:eastAsia="宋体" w:hAnsi="Times New Roman" w:cs="宋体" w:hint="eastAsia"/>
          <w:sz w:val="21"/>
          <w:lang w:eastAsia="zh-CN"/>
        </w:rPr>
      </w:pPr>
    </w:p>
    <w:p w14:paraId="70456D79">
      <w:pPr>
        <w:keepNext w:val="0"/>
        <w:keepLines w:val="0"/>
        <w:pageBreakBefore w:val="0"/>
        <w:widowControl w:val="0"/>
        <w:pBdr>
          <w:bottom w:val="single" w:sz="4" w:space="0" w:color="auto"/>
        </w:pBdr>
        <w:kinsoku/>
        <w:wordWrap/>
        <w:overflowPunct/>
        <w:topLinePunct w:val="0"/>
        <w:autoSpaceDE/>
        <w:autoSpaceDN/>
        <w:bidi w:val="0"/>
        <w:adjustRightInd/>
        <w:snapToGrid/>
        <w:ind w:firstLine="420" w:firstLineChars="200"/>
        <w:jc w:val="both"/>
        <w:textAlignment w:val="auto"/>
        <w:rPr>
          <w:rFonts w:ascii="Times New Roman" w:eastAsia="宋体" w:hAnsi="Times New Roman" w:cs="宋体" w:hint="eastAsia"/>
          <w:sz w:val="21"/>
          <w:lang w:eastAsia="zh-CN"/>
        </w:rPr>
      </w:pPr>
    </w:p>
    <w:p w14:paraId="5D0DA3E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Times New Roman" w:eastAsia="宋体" w:hAnsi="Times New Roman" w:cs="宋体" w:hint="eastAsia"/>
          <w:sz w:val="21"/>
          <w:lang w:val="en-US" w:eastAsia="zh-CN"/>
        </w:rPr>
      </w:pPr>
    </w:p>
    <w:p w14:paraId="78994874">
      <w:pPr>
        <w:ind w:firstLine="420" w:firstLineChars="200"/>
        <w:jc w:val="both"/>
        <w:rPr>
          <w:rFonts w:hint="eastAsia"/>
        </w:rPr>
      </w:pPr>
      <w:r>
        <w:rPr>
          <w:rFonts w:hint="eastAsia"/>
        </w:rPr>
        <w:t>摘要：</w:t>
      </w:r>
      <w:r>
        <w:rPr>
          <w:rFonts w:hint="eastAsia"/>
        </w:rPr>
        <w:t>数字经济时代互联网金融运作方式及风险特征发生了改变，风险重心也从资金端向数据、算法端转移。本文主要从数据和算法这一关键环节入手，梳理风险的出现表现以及现实困境，主要研究治理路径。数据要素被滥用、算法不透明、模型失灵、规则供给迟缓这四种状况同时存在，传统的风险管理方法已经无法满足现在的要求了。对策要集中于数据治理、算法及模型治理、监管制度供给和多元共治这四个方面的治理机制并行推进，加强机构内部的自我约束能力的同时建立外部约束机制，使互联网金融效率与安全达到平衡。</w:t>
      </w:r>
    </w:p>
    <w:p w14:paraId="4BBBE387">
      <w:pPr>
        <w:ind w:firstLine="420" w:firstLineChars="200"/>
        <w:jc w:val="both"/>
        <w:rPr>
          <w:rFonts w:hint="eastAsia"/>
        </w:rPr>
      </w:pPr>
      <w:r>
        <w:rPr>
          <w:rFonts w:hint="eastAsia"/>
        </w:rPr>
        <w:t>关键词： 数字经济；互联网金融；风险治理；大数据风控；监管</w:t>
      </w:r>
    </w:p>
    <w:p w14:paraId="7E494781">
      <w:pPr>
        <w:ind w:firstLine="420" w:firstLineChars="200"/>
        <w:jc w:val="both"/>
        <w:rPr>
          <w:rFonts w:hint="eastAsia"/>
        </w:rPr>
      </w:pPr>
      <w:r>
        <w:rPr>
          <w:rFonts w:hint="eastAsia"/>
        </w:rPr>
        <w:t>引言</w:t>
      </w:r>
    </w:p>
    <w:p w14:paraId="08497CBC">
      <w:pPr>
        <w:ind w:firstLine="420" w:firstLineChars="200"/>
        <w:jc w:val="both"/>
        <w:rPr>
          <w:rFonts w:hint="eastAsia"/>
        </w:rPr>
      </w:pPr>
      <w:r>
        <w:rPr>
          <w:rFonts w:hint="eastAsia"/>
        </w:rPr>
        <w:t>数字经济时代数据成为与土地、资本相并列的三大生产要素，互联网金融竞争焦点也由以前的渠道获客转向数据风控。第三方支付、网络借贷、消费金融、互联网理财等行业的大部分公司都把大数据模型用作信用评定、反欺诈、风险定价的主要手段，技术被越来越多地运用到其中。技术赋权的同时又改变了风险产生的渠道以及传播方式，风险也不只是停留在资金流上，它深深地藏在数据以及算法里。稳妥发展金融科技、推动金融机构数字化转型，是建设现代金融体系、更好服务实体经济的有力抓手</w:t>
      </w:r>
      <w:r>
        <w:rPr>
          <w:rFonts w:hint="eastAsia"/>
          <w:vertAlign w:val="superscript"/>
        </w:rPr>
        <w:t>[1]</w:t>
      </w:r>
      <w:r>
        <w:rPr>
          <w:rFonts w:hint="eastAsia"/>
        </w:rPr>
        <w:t>。把研究范围缩小到数据与算法这个重要部分，梳理风险表现的特点及现实难题，主要研究治理路径，给数字经济背景下的互联网金融风险管理提供一个有聚焦、可操作的思路。</w:t>
      </w:r>
    </w:p>
    <w:p w14:paraId="621C0F24">
      <w:pPr>
        <w:ind w:firstLine="420" w:firstLineChars="200"/>
        <w:jc w:val="both"/>
        <w:rPr>
          <w:rFonts w:hint="eastAsia"/>
        </w:rPr>
      </w:pPr>
      <w:r>
        <w:rPr>
          <w:rFonts w:hint="eastAsia"/>
        </w:rPr>
        <w:t>（一）</w:t>
      </w:r>
      <w:r>
        <w:rPr>
          <w:rFonts w:hint="eastAsia"/>
        </w:rPr>
        <w:t>风险载体是数据或者算法。传统的金融风险跟随资金的运动而动，信用违约、流动性不足、支付结算差错等属于典型的金融风险。数字技术深入发展之后，风险的承载体出现了明显的位置变化，大量的数据以及依靠数据产生的算法模型成了新的风险聚集地。一旦数据泄露、被滥用或者遭篡改，所造成的损失并不仅仅</w:t>
      </w:r>
      <w:bookmarkStart w:id="0" w:name="_GoBack"/>
      <w:bookmarkEnd w:id="0"/>
      <w:r>
        <w:rPr>
          <w:rFonts w:hint="eastAsia"/>
        </w:rPr>
        <w:t>只是一笔交易的损失，会迅速波及到整个平台的生态。风险问题很大程度上变成了数据、算法问题，被监测的对象和方式也随之发生变化。这就意味着以前依靠资金流来识别风险的方法已经不能适应现在的数据流、模型流为主的运行状况，风险管理技术起点要整体前移。</w:t>
      </w:r>
    </w:p>
    <w:p w14:paraId="70DB03D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Times New Roman" w:eastAsia="宋体" w:hAnsi="Times New Roman" w:cs="宋体" w:hint="default"/>
          <w:sz w:val="21"/>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82250C"/>
    <w:rsid w:val="03583932"/>
    <w:rsid w:val="036A2641"/>
    <w:rsid w:val="04DD470E"/>
    <w:rsid w:val="050D4849"/>
    <w:rsid w:val="05C64E5C"/>
    <w:rsid w:val="076E28B3"/>
    <w:rsid w:val="07B44BDD"/>
    <w:rsid w:val="096C6D0E"/>
    <w:rsid w:val="098B3F8E"/>
    <w:rsid w:val="0BF61DA2"/>
    <w:rsid w:val="0CF21FBE"/>
    <w:rsid w:val="0E3E61D9"/>
    <w:rsid w:val="0F2C0ADA"/>
    <w:rsid w:val="0FD348E1"/>
    <w:rsid w:val="11B8222E"/>
    <w:rsid w:val="12563740"/>
    <w:rsid w:val="13A66595"/>
    <w:rsid w:val="164F566E"/>
    <w:rsid w:val="17DC6866"/>
    <w:rsid w:val="1CF547D5"/>
    <w:rsid w:val="1EAD1FDB"/>
    <w:rsid w:val="207E438A"/>
    <w:rsid w:val="21215B8F"/>
    <w:rsid w:val="217750CC"/>
    <w:rsid w:val="230D3FD3"/>
    <w:rsid w:val="23556BE7"/>
    <w:rsid w:val="24891969"/>
    <w:rsid w:val="25D47A17"/>
    <w:rsid w:val="27ED30F4"/>
    <w:rsid w:val="284B02FA"/>
    <w:rsid w:val="28EF6FB7"/>
    <w:rsid w:val="2B124B1E"/>
    <w:rsid w:val="2CD63AFA"/>
    <w:rsid w:val="2D5B7244"/>
    <w:rsid w:val="2DAC0902"/>
    <w:rsid w:val="3200544D"/>
    <w:rsid w:val="339E023F"/>
    <w:rsid w:val="33EB36F8"/>
    <w:rsid w:val="36917C89"/>
    <w:rsid w:val="397D59AB"/>
    <w:rsid w:val="3C471872"/>
    <w:rsid w:val="3DC70D32"/>
    <w:rsid w:val="3E4F0917"/>
    <w:rsid w:val="3FAA090B"/>
    <w:rsid w:val="3FD82999"/>
    <w:rsid w:val="42CD6CBA"/>
    <w:rsid w:val="42DE0FF8"/>
    <w:rsid w:val="45072C1B"/>
    <w:rsid w:val="465338EB"/>
    <w:rsid w:val="47D51FC2"/>
    <w:rsid w:val="49C16F7D"/>
    <w:rsid w:val="4E255D2C"/>
    <w:rsid w:val="50C34A6D"/>
    <w:rsid w:val="53BB60A2"/>
    <w:rsid w:val="55C83032"/>
    <w:rsid w:val="57914206"/>
    <w:rsid w:val="57AC78D3"/>
    <w:rsid w:val="589F7D46"/>
    <w:rsid w:val="5A942495"/>
    <w:rsid w:val="5C0276AD"/>
    <w:rsid w:val="5F7B1308"/>
    <w:rsid w:val="601156CE"/>
    <w:rsid w:val="60497AF7"/>
    <w:rsid w:val="60EF46F9"/>
    <w:rsid w:val="60F27082"/>
    <w:rsid w:val="61262AD5"/>
    <w:rsid w:val="63252038"/>
    <w:rsid w:val="643C1BD1"/>
    <w:rsid w:val="654A7124"/>
    <w:rsid w:val="662026AF"/>
    <w:rsid w:val="672E5550"/>
    <w:rsid w:val="68AD5D65"/>
    <w:rsid w:val="699E7BE6"/>
    <w:rsid w:val="6A7D4D77"/>
    <w:rsid w:val="6BA443C8"/>
    <w:rsid w:val="6C016886"/>
    <w:rsid w:val="6C6B1633"/>
    <w:rsid w:val="6DF31B05"/>
    <w:rsid w:val="6E72431C"/>
    <w:rsid w:val="6F5841D3"/>
    <w:rsid w:val="74474F84"/>
    <w:rsid w:val="768E461D"/>
    <w:rsid w:val="77586741"/>
    <w:rsid w:val="788327D2"/>
    <w:rsid w:val="78E757C9"/>
    <w:rsid w:val="79397721"/>
    <w:rsid w:val="7E4C2F38"/>
    <w:rsid w:val="7FA46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
    <w:name w:val="Body Text"/>
    <w:basedOn w:val="Normal"/>
    <w:semiHidden/>
    <w:qFormat/>
    <w:rPr>
      <w:rFonts w:ascii="宋体" w:eastAsia="宋体" w:hAnsi="宋体" w:cs="宋体"/>
      <w:sz w:val="24"/>
      <w:szCs w:val="24"/>
      <w:lang w:val="en-US" w:eastAsia="en-US"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3842</Words>
  <Characters>3857</Characters>
  <Application>Microsoft Office Word</Application>
  <DocSecurity>0</DocSecurity>
  <Lines>0</Lines>
  <Paragraphs>0</Paragraphs>
  <ScaleCrop>false</ScaleCrop>
  <Company/>
  <LinksUpToDate>false</LinksUpToDate>
  <CharactersWithSpaces>3928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2026-11-03T18:10:23Z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