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59E349C">
      <w:pPr>
        <w:ind w:firstLine="360" w:firstLineChars="200"/>
        <w:rPr>
          <w:rFonts w:ascii="Times New Roman" w:eastAsia="宋体" w:hAnsi="Times New Roman" w:cs="Times New Roman" w:hint="default"/>
          <w:color w:val="auto"/>
          <w:sz w:val="18"/>
          <w:szCs w:val="18"/>
        </w:rPr>
      </w:pPr>
      <w:r>
        <w:rPr>
          <w:rFonts w:ascii="Times New Roman" w:eastAsia="宋体" w:hAnsi="Times New Roman" w:cs="Times New Roman" w:hint="default"/>
          <w:color w:val="auto"/>
          <w:sz w:val="18"/>
          <w:szCs w:val="18"/>
        </w:rPr>
        <w:t>第</w:t>
      </w:r>
      <w:r>
        <w:rPr>
          <w:rFonts w:ascii="Times New Roman" w:eastAsia="宋体" w:hAnsi="Times New Roman" w:cs="Times New Roman" w:hint="eastAsia"/>
          <w:color w:val="auto"/>
          <w:sz w:val="18"/>
          <w:szCs w:val="18"/>
          <w:lang w:val="en-US" w:eastAsia="zh-CN"/>
        </w:rPr>
        <w:t>一</w:t>
      </w:r>
      <w:r>
        <w:rPr>
          <w:rFonts w:ascii="Times New Roman" w:eastAsia="宋体" w:hAnsi="Times New Roman" w:cs="Times New Roman" w:hint="default"/>
          <w:color w:val="auto"/>
          <w:sz w:val="18"/>
          <w:szCs w:val="18"/>
        </w:rPr>
        <w:t>作者简介：田婷婷（1990.03-），女，硕士，中级工程师，研究方向：产业园建筑规划设计。</w:t>
      </w:r>
    </w:p>
    <w:p w14:paraId="2CD9E727">
      <w:pPr>
        <w:ind w:firstLine="360" w:firstLineChars="200"/>
        <w:rPr>
          <w:rFonts w:ascii="Times New Roman" w:eastAsia="宋体" w:hAnsi="Times New Roman" w:cs="Times New Roman" w:hint="eastAsia"/>
          <w:color w:val="auto"/>
          <w:sz w:val="18"/>
          <w:szCs w:val="18"/>
        </w:rPr>
      </w:pPr>
      <w:r>
        <w:rPr>
          <w:rFonts w:ascii="Times New Roman" w:eastAsia="宋体" w:hAnsi="Times New Roman" w:cs="Times New Roman" w:hint="default"/>
          <w:color w:val="auto"/>
          <w:sz w:val="18"/>
          <w:szCs w:val="18"/>
        </w:rPr>
        <w:t>第</w:t>
      </w:r>
      <w:r>
        <w:rPr>
          <w:rFonts w:ascii="Times New Roman" w:eastAsia="宋体" w:hAnsi="Times New Roman" w:cs="Times New Roman" w:hint="eastAsia"/>
          <w:color w:val="auto"/>
          <w:sz w:val="18"/>
          <w:szCs w:val="18"/>
          <w:lang w:val="en-US" w:eastAsia="zh-CN"/>
        </w:rPr>
        <w:t>二</w:t>
      </w:r>
      <w:r>
        <w:rPr>
          <w:rFonts w:ascii="Times New Roman" w:eastAsia="宋体" w:hAnsi="Times New Roman" w:cs="Times New Roman" w:hint="default"/>
          <w:color w:val="auto"/>
          <w:sz w:val="18"/>
          <w:szCs w:val="18"/>
        </w:rPr>
        <w:t>作者简介：梁欢（1990.09-），女，本科</w:t>
      </w:r>
      <w:r>
        <w:rPr>
          <w:rFonts w:ascii="Times New Roman" w:eastAsia="宋体" w:hAnsi="Times New Roman" w:cs="Times New Roman" w:hint="eastAsia"/>
          <w:color w:val="auto"/>
          <w:sz w:val="18"/>
          <w:szCs w:val="18"/>
          <w:lang w:eastAsia="zh-CN"/>
        </w:rPr>
        <w:t>，</w:t>
      </w:r>
      <w:r>
        <w:rPr>
          <w:rFonts w:ascii="Times New Roman" w:eastAsia="宋体" w:hAnsi="Times New Roman" w:cs="Times New Roman" w:hint="default"/>
          <w:color w:val="auto"/>
          <w:sz w:val="18"/>
          <w:szCs w:val="18"/>
        </w:rPr>
        <w:t>中级工程师，研究方向：产业园建筑规划设计。</w:t>
      </w:r>
    </w:p>
    <w:p w14:paraId="2C06D158">
      <w:pPr>
        <w:spacing w:line="360" w:lineRule="auto"/>
        <w:jc w:val="center"/>
        <w:rPr>
          <w:rFonts w:hint="eastAsia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/>
          <w:b w:val="0"/>
          <w:bCs w:val="0"/>
          <w:color w:val="auto"/>
          <w:sz w:val="28"/>
          <w:szCs w:val="28"/>
          <w:highlight w:val="none"/>
        </w:rPr>
        <w:t>低碳产业园风貌与建筑空间优化技术研究</w:t>
      </w:r>
    </w:p>
    <w:p w14:paraId="7D68DE74">
      <w:pPr>
        <w:spacing w:line="360" w:lineRule="auto"/>
        <w:jc w:val="center"/>
        <w:rPr>
          <w:rFonts w:ascii="Times New Roman" w:eastAsia="宋体" w:hAnsi="Times New Roman" w:cs="Times New Roman" w:hint="default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sz w:val="21"/>
          <w:szCs w:val="21"/>
          <w:highlight w:val="none"/>
          <w:lang w:val="en-US" w:eastAsia="zh-CN"/>
        </w:rPr>
        <w:t>田婷婷</w:t>
      </w:r>
      <w:r>
        <w:rPr>
          <w:rFonts w:ascii="Times New Roman" w:eastAsia="宋体" w:hAnsi="Times New Roman" w:cs="Times New Roman" w:hint="eastAsia"/>
          <w:b w:val="0"/>
          <w:bCs w:val="0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sz w:val="21"/>
          <w:szCs w:val="21"/>
          <w:highlight w:val="none"/>
        </w:rPr>
        <w:t>梁欢</w:t>
      </w:r>
    </w:p>
    <w:p w14:paraId="5B1BA279">
      <w:pPr>
        <w:spacing w:line="360" w:lineRule="auto"/>
        <w:jc w:val="center"/>
        <w:rPr>
          <w:rFonts w:hint="eastAsia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sz w:val="21"/>
          <w:szCs w:val="21"/>
          <w:highlight w:val="none"/>
          <w:lang w:val="en-US" w:eastAsia="zh-CN"/>
        </w:rPr>
        <w:t>西安长安大学工程设计研究院有限公司 陕西省西安市 710000</w:t>
      </w:r>
    </w:p>
    <w:p w14:paraId="0F13D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/>
          <w:bCs/>
          <w:szCs w:val="22"/>
        </w:rPr>
        <w:t>摘要: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  <w:t>根据园区高密度用地、场地高差大、生产功能复合、低碳设施协同性差等状况来创建包含风貌控制、建筑空间适应、场地竖向设计以及低碳配套系统的一套优化技术。根据防水新材料生产工艺对厂房柱网、功能分区、物流组织、围护结构、屋面光伏、地下设备用房等进行适配设计，用平坡式竖向设计、海绵城市设施、绿色交通组织来提高园区整体性能。由土方开挖回填量由原来的10000m³减至6500m³，施工综合能耗降低29750kWh，屋面光伏年发电量1200000kWh，年碳减排量为696tCO₂，海绵设施年减少雨水外排量约为1.1万m³，年径流控制率和TSS消减率分别达到72%、65%。本研究把生产工艺逻辑提前到规划建筑设计阶段，打通风貌控制、空间安排、场地工程以及能源生态设施之间的技术接口，减少低碳设施对于生产流线、货运通行的影响，在保证工业生产高效稳定运行的基础上发掘减碳的潜力。研究可为新材料产业园低碳建设、空间集约利用和生态基础设施协同提供技术上的参考。</w:t>
      </w:r>
    </w:p>
    <w:p w14:paraId="77B16C8D">
      <w:pPr>
        <w:spacing w:line="360" w:lineRule="auto"/>
        <w:rPr>
          <w:rFonts w:ascii="Times New Roman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宋体" w:eastAsia="宋体" w:hAnsi="宋体" w:cs="宋体" w:hint="eastAsia"/>
          <w:b/>
          <w:bCs/>
          <w:color w:val="auto"/>
          <w:highlight w:val="none"/>
        </w:rPr>
        <w:t>关键词:</w:t>
      </w:r>
      <w:r>
        <w:rPr>
          <w:rFonts w:ascii="宋体" w:eastAsia="宋体" w:hAnsi="宋体" w:cs="宋体" w:hint="eastAsia"/>
          <w:b w:val="0"/>
          <w:bCs w:val="0"/>
          <w:color w:val="auto"/>
          <w:highlight w:val="none"/>
        </w:rPr>
        <w:t>新材料产业园；低碳建设；建筑空间适配；屋面光伏；海绵城市</w:t>
      </w:r>
    </w:p>
    <w:p w14:paraId="7EB78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 xml:space="preserve">0 </w:t>
      </w:r>
      <w:r>
        <w:rPr>
          <w:rFonts w:ascii="Times New Roman" w:hAnsi="Times New Roman" w:cs="Times New Roman" w:hint="default"/>
          <w:b w:val="0"/>
          <w:bCs w:val="0"/>
          <w:color w:val="auto"/>
          <w:highlight w:val="none"/>
        </w:rPr>
        <w:t>引言</w:t>
      </w:r>
    </w:p>
    <w:p w14:paraId="03A50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 xml:space="preserve"> 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“双碳”目标推进和工业园区绿色转型不断深入的时候，产业园区从原来的单个生产空间的载体变成了能源、产业、生态和公共服务共同构成的综合系统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vertAlign w:val="superscript"/>
          <w:lang w:val="en-US" w:eastAsia="zh-CN"/>
        </w:rPr>
        <w:t>[1]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。新材料产业设备多、物流繁杂、厂房大、能源消耗大，低碳建设要统筹场地竖向、建筑外观、生产流程、能源系统。新材料产业园是承担碳中和示范任务的园区，占地面积33383.31㎡，南北高差约1m、东侧最大达5.6m，包含生产、研发、设备用房及配套服务功能，系统协调不到位容易造成物流重复、土方量大、界面不统一、光伏海绵设施布置受限。对生产工艺和场地条件展开低碳优化研究有益于提高资源利用率、环境适应性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vertAlign w:val="superscript"/>
          <w:lang w:val="en-US" w:eastAsia="zh-CN"/>
        </w:rPr>
        <w:t>[2]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。对风貌低碳化、建筑空间适配、场地配套系统三个层面的低碳化设计展开分析，用量化指标评价低碳化设计的效果，给其他类似园区低碳化建设提供参考。</w:t>
      </w:r>
    </w:p>
    <w:p w14:paraId="3A0B7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  <w:t>1 新材料产业园低碳建设基础与优化需求分析</w:t>
      </w:r>
    </w:p>
    <w:p w14:paraId="72243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以零碳生产、国际示范、生态闭环为发展理念的园区总占地面积为33383.31平方米，容积率1.51，建筑密度54.49%，高密度开发对建筑间距、通风廊道、开放空间的建设要求也随之提高。</w:t>
      </w:r>
    </w:p>
    <w:p w14:paraId="2002F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从场地实际条件看，园区南北区域高差约1m、东侧高差达5.6m，对道路衔接、雨水收集及无障碍通行造成影响，现有的布局需要考虑生产物流、行人活动、能源设施运行之间的关系，减少流线交叉的干扰，为光伏、储能、再生水利用、绿色交通布置留有连续的场地，建筑体量、色彩、界面尺度及景观节点要形成一致的低碳风貌形象，防止生产与公共服务空间形态分割，园区优化要将场地竖向设计、功能匹配、风貌控制和生态设施统筹纳入整个技术架构中。</w:t>
      </w:r>
    </w:p>
    <w:p w14:paraId="05490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  <w:t>2 低碳产业园风貌与空间优化关键技术体系</w:t>
      </w:r>
    </w:p>
    <w:p w14:paraId="2A574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  <w:t>2.1 园区风貌低碳化优化技术</w:t>
      </w:r>
    </w:p>
    <w:p w14:paraId="5F18E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根据对某新材料产业园生产建筑大、外围护界面连续的特点，外立面应选用高明度的浅灰、米白等高明度板材，把太阳辐射吸收率考虑进去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vertAlign w:val="superscript"/>
          <w:lang w:val="en-US" w:eastAsia="zh-CN"/>
        </w:rPr>
        <w:t>[3]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。金属板材与保温层形成完整的围护系统，处理板缝、檩条接头及门窗洞口热桥，防止局部传热造成节能效果的降低。真石漆应涂刷在保温系统外侧，形成耐候的饰面以及色彩一致的效果，不能用饰面层代替保温构造。材料选择要考虑太阳反射性、耐污性、维护期长短等因素来降低外墙温度、翻修产生的隐含碳排放。风貌管控也要同时考虑建筑群通风廊道的营造，以厂房错落有致留有通风间隙的方式减弱建筑群内部热岛集聚现象，保证风貌设计是多维的、有内涵的，不能只停留在表面的视觉效果，而应该达到形态美学和微气候调节的双重目的。</w:t>
      </w:r>
    </w:p>
    <w:p w14:paraId="1B686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屋面光伏采用可铺设面积一次性满铺的方式，结构设计阶段要把组件、支架、电缆桥架以及检修荷载一同考虑进荷载组合当中，设置连续的安装及检修通道，协调女儿墙、排烟设施和设备基础遮挡，减小阴影损失，削减局部荷载集中可能造成的危险，光伏板同浅色围护体系一起形成低碳风貌符号，组件层是屋面隔热层，起到减少夏季得热、降低空调耗电量的效果。</w:t>
      </w:r>
    </w:p>
    <w:p w14:paraId="25BD8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  <w:t>2.2 建筑空间适配性优化技术</w:t>
      </w:r>
    </w:p>
    <w:p w14:paraId="11EB5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</w:pPr>
    </w:p>
    <w:p w14:paraId="1A6F7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两层丙类厂房层高8.1m，根据楼面荷载和工艺分区组织上下层，重型设备、原料处理等大荷载处设在底层，检测、办公及轻型装配设在上层，楼梯、货梯和疏散通道避开主要物流线；4层综合楼把研发试验、企业管理、会议培训、生活服务按公共交通核分层进行布置，研发区域和生产厂房分开设置独立的联系界面。地下设备用房面积1449.43㎡，划分为消防水泵、变配电、备用电源及检修区，消防配电装置靠近负荷中心，设有单独的检修通道，防水、排水、通风及防火分隔互相配合布置，防雨水倒灌和生产废水倒灌，保证建筑空间优化技术架构如图1所示。空间布局在自然采光与机械通风系统共同作用下进行设计，高大厂房侧墙设置高侧窗和通风天窗，利用热压通风减少厂房排风机组的运转时间，从空间构型的角度减少生产时段通风能耗。上述的空间模式依靠密集的柱网减小了运输距离，分区清楚减少了倒运次数，流线独立减少了等待时间，节约了生产过程中的机械及照明能耗，使园区低碳运行得以实施。</w:t>
      </w:r>
    </w:p>
    <w:p w14:paraId="1D0DB392">
      <w:pPr>
        <w:spacing w:line="360" w:lineRule="auto"/>
        <w:jc w:val="center"/>
        <w:rPr>
          <w:rFonts w:ascii="Times New Roman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hAnsi="Times New Roman" w:cs="Times New Roman" w:hint="default"/>
          <w:b w:val="0"/>
          <w:bCs w:val="0"/>
          <w:color w:val="auto"/>
          <w:highlight w:val="none"/>
        </w:rPr>
        <w:drawing>
          <wp:inline distT="0" distB="0" distL="114300" distR="114300">
            <wp:extent cx="3582035" cy="3582035"/>
            <wp:effectExtent l="0" t="0" r="14605" b="14605"/>
            <wp:docPr id="2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82035" cy="3582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94DA06">
      <w:pPr>
        <w:snapToGrid w:val="0"/>
        <w:jc w:val="center"/>
        <w:rPr>
          <w:rFonts w:ascii="Times New Roman" w:eastAsia="等线" w:hAnsi="Times New Roman" w:cs="Times New Roman" w:hint="default"/>
          <w:color w:val="auto"/>
          <w:sz w:val="18"/>
          <w:szCs w:val="18"/>
        </w:rPr>
      </w:pPr>
      <w:r>
        <w:rPr>
          <w:rFonts w:ascii="Times New Roman" w:eastAsia="等线" w:hAnsi="Times New Roman" w:cs="Times New Roman" w:hint="default"/>
          <w:color w:val="auto"/>
          <w:sz w:val="18"/>
          <w:szCs w:val="18"/>
        </w:rPr>
        <w:t>图1 建筑空间优化技术架构图</w:t>
      </w:r>
    </w:p>
    <w:p w14:paraId="45466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  <w:t>2.3 场地与低碳配套系统优化技术</w:t>
      </w:r>
    </w:p>
    <w:p w14:paraId="57CAB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由于园区南北高差1米，东侧5.6米，场地竖向采用平坡式处理，协调道路、室外地坪、雨水排流方向，坡度控制在0.3%~3.5%，分区找坡、就近平衡土方减少高填深挖能耗，东侧结合台地、挡土墙及缓坡衔接降低纵坡对货运车辆、无障碍通行的影响；挡墙采用自研保水防水材料建造复合墙体，用防渗层、排水层和种植基质来保持根系的湿度，墙顶设耐旱乡土植物，墙脚连接下凹绿地和渗排沟，具有生态滞蓄功能；海绵城市系统以年径流控制率≥70%、TSS去除率≥60%为核心，布置在屋面落水、道路汇水路径上，海绵系统利用源头滞蓄、入渗、回用等手段削减外排径流，减少雨水输送处理能耗，将生态设施作为灰色排水设施的替代方案。场地生态设施同时考虑雨水资源化利用，配备简单的储水模块收集处理过的雨水，用于绿化浇灌、场地冲洗等用途，减少市政自来水的使用量，完善园区水循环。将人行、机动车、货运流线区分开来，货运入口靠近装卸区，人员入口连接综合服务空间，园区设10个机动车充电位、48个非机动车充电位，预留配电、遮雨及消防检修条件，充电设施推进电能替代工作，流线分离措施落实到位，减少车辆怠速，降低交通领域碳排放，属于绿色交通组织的内容。平坡式竖向设计、海绵城市设施、绿色交通组织这三种方式可使施工、水处理、交通各环节能耗降低，三者共同构成了一个低碳配套系统。</w:t>
      </w:r>
    </w:p>
    <w:p w14:paraId="41921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  <w:t>3 低碳优化技术实施效果评估</w:t>
      </w:r>
    </w:p>
    <w:p w14:paraId="0612B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  <w:t>3.1 技术实施的量化效益分析</w:t>
      </w:r>
    </w:p>
    <w:p w14:paraId="1749D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量化的评价把场地竖向的改善，屋顶光伏的建设以及海绵城市设施一起放在同一个核算范围里。按优化前土方开挖和回填总量10000m3、每m3土方综合能耗8.5kWh的估算结果，平坡式设计结合土方就近平衡后工程量减少3500m3，节约能量29750kWh，指标变化情况见表1。</w:t>
      </w:r>
    </w:p>
    <w:p w14:paraId="2D477301">
      <w:pPr>
        <w:jc w:val="center"/>
        <w:rPr>
          <w:rFonts w:ascii="Times New Roman" w:eastAsia="黑体" w:hAnsi="Times New Roman" w:cs="Times New Roman" w:hint="default"/>
          <w:sz w:val="19"/>
          <w:szCs w:val="19"/>
        </w:rPr>
      </w:pPr>
      <w:r>
        <w:rPr>
          <w:rFonts w:ascii="Times New Roman" w:eastAsia="黑体" w:hAnsi="Times New Roman" w:cs="Times New Roman" w:hint="default"/>
          <w:sz w:val="19"/>
          <w:szCs w:val="19"/>
        </w:rPr>
        <w:t>表1 优化前后关键指标对比表</w:t>
      </w:r>
    </w:p>
    <w:tbl>
      <w:tblPr>
        <w:tblStyle w:val="Table"/>
        <w:tblW w:w="8522" w:type="dxa"/>
        <w:jc w:val="center"/>
        <w:tblBorders>
          <w:top w:val="none" w:sz="12" w:space="0" w:color="auto"/>
          <w:left w:val="none" w:sz="0" w:space="0" w:color="auto"/>
          <w:bottom w:val="non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4"/>
        <w:gridCol w:w="1555"/>
        <w:gridCol w:w="1824"/>
        <w:gridCol w:w="2429"/>
      </w:tblGrid>
      <w:tr w14:paraId="5605DBD9">
        <w:tblPrEx>
          <w:tblW w:w="8522" w:type="dxa"/>
          <w:jc w:val="center"/>
          <w:tblBorders>
            <w:top w:val="none" w:sz="12" w:space="0" w:color="auto"/>
            <w:left w:val="none" w:sz="0" w:space="0" w:color="auto"/>
            <w:bottom w:val="non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tblHeader/>
          <w:jc w:val="center"/>
        </w:trPr>
        <w:tc>
          <w:tcPr>
            <w:tcW w:w="2714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5D675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指标</w:t>
            </w:r>
          </w:p>
        </w:tc>
        <w:tc>
          <w:tcPr>
            <w:tcW w:w="1555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8C758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优化前</w:t>
            </w:r>
          </w:p>
        </w:tc>
        <w:tc>
          <w:tcPr>
            <w:tcW w:w="1824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7AD8A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优化后</w:t>
            </w:r>
          </w:p>
        </w:tc>
        <w:tc>
          <w:tcPr>
            <w:tcW w:w="2429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CF1C2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变化结果</w:t>
            </w:r>
          </w:p>
        </w:tc>
      </w:tr>
      <w:tr w14:paraId="7403E639">
        <w:tblPrEx>
          <w:tblW w:w="852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714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CDBC1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土方开挖与回填总量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F9926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10000 m³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7B02E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6500 m³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8F404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减少35%</w:t>
            </w:r>
          </w:p>
        </w:tc>
      </w:tr>
      <w:tr w14:paraId="1DAA6EC5">
        <w:tblPrEx>
          <w:tblW w:w="852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3AE41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土方施工综合能耗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A7C65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85000 kWh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40D93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55250 kWh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00632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节约29750 kWh</w:t>
            </w:r>
          </w:p>
        </w:tc>
      </w:tr>
      <w:tr w14:paraId="5C895F6C">
        <w:tblPrEx>
          <w:tblW w:w="852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7B357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屋面光伏年发电量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2D72F2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0 kWh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68F5C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1200000 kWh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992AC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增加1200000 kWh</w:t>
            </w:r>
          </w:p>
        </w:tc>
      </w:tr>
      <w:tr w14:paraId="3C944D5C">
        <w:tblPrEx>
          <w:tblW w:w="852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714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DEDD6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光伏对应年碳减排量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93D554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0 tCO₂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CCA5A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696 tCO₂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27701C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增加696 tCO₂</w:t>
            </w:r>
          </w:p>
        </w:tc>
      </w:tr>
    </w:tbl>
    <w:p w14:paraId="2A5903E8">
      <w:pPr>
        <w:jc w:val="center"/>
        <w:rPr>
          <w:rFonts w:ascii="Times New Roman" w:eastAsia="黑体" w:hAnsi="Times New Roman" w:cs="Times New Roman" w:hint="default"/>
          <w:sz w:val="19"/>
          <w:szCs w:val="19"/>
        </w:rPr>
      </w:pPr>
    </w:p>
    <w:p w14:paraId="4D86AA44">
      <w:pPr>
        <w:jc w:val="center"/>
        <w:rPr>
          <w:rFonts w:ascii="Times New Roman" w:eastAsia="黑体" w:hAnsi="Times New Roman" w:cs="Times New Roman" w:hint="default"/>
          <w:sz w:val="19"/>
          <w:szCs w:val="19"/>
        </w:rPr>
      </w:pPr>
      <w:bookmarkStart w:id="0" w:name="_GoBack"/>
      <w:bookmarkEnd w:id="0"/>
      <w:r>
        <w:rPr>
          <w:rFonts w:ascii="Times New Roman" w:eastAsia="黑体" w:hAnsi="Times New Roman" w:cs="Times New Roman" w:hint="default"/>
          <w:sz w:val="19"/>
          <w:szCs w:val="19"/>
        </w:rPr>
        <w:t>表2 海绵城市指标达成表</w:t>
      </w:r>
    </w:p>
    <w:tbl>
      <w:tblPr>
        <w:tblStyle w:val="Table"/>
        <w:tblW w:w="8522" w:type="dxa"/>
        <w:jc w:val="center"/>
        <w:tblBorders>
          <w:top w:val="none" w:sz="12" w:space="0" w:color="auto"/>
          <w:left w:val="none" w:sz="0" w:space="0" w:color="auto"/>
          <w:bottom w:val="non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6"/>
        <w:gridCol w:w="1876"/>
        <w:gridCol w:w="2218"/>
        <w:gridCol w:w="1852"/>
      </w:tblGrid>
      <w:tr w14:paraId="5B30511F">
        <w:tblPrEx>
          <w:tblW w:w="8522" w:type="dxa"/>
          <w:jc w:val="center"/>
          <w:tblBorders>
            <w:top w:val="none" w:sz="12" w:space="0" w:color="auto"/>
            <w:left w:val="none" w:sz="0" w:space="0" w:color="auto"/>
            <w:bottom w:val="non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tblHeader/>
          <w:jc w:val="center"/>
        </w:trPr>
        <w:tc>
          <w:tcPr>
            <w:tcW w:w="2576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D71D19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指标</w:t>
            </w:r>
          </w:p>
        </w:tc>
        <w:tc>
          <w:tcPr>
            <w:tcW w:w="1876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63C8D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规划目标</w:t>
            </w:r>
          </w:p>
        </w:tc>
        <w:tc>
          <w:tcPr>
            <w:tcW w:w="2218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800C3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优化后数值</w:t>
            </w:r>
          </w:p>
        </w:tc>
        <w:tc>
          <w:tcPr>
            <w:tcW w:w="1852" w:type="dxa"/>
            <w:tcBorders>
              <w:top w:val="single" w:sz="12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62BE9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达成情况</w:t>
            </w:r>
          </w:p>
        </w:tc>
      </w:tr>
      <w:tr w14:paraId="0DC5EED6">
        <w:tblPrEx>
          <w:tblW w:w="852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576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A877D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年径流控制率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187C7A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高于70%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DAFAA1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72%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BAD0A9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达标</w:t>
            </w:r>
          </w:p>
        </w:tc>
      </w:tr>
      <w:tr w14:paraId="740047A9">
        <w:tblPrEx>
          <w:tblW w:w="852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2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F1776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TSS消减率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578680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高于60%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A9822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65%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12" w:space="0" w:color="auto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592B0">
            <w:pPr>
              <w:widowControl/>
              <w:jc w:val="center"/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default"/>
                <w:color w:val="000000"/>
                <w:kern w:val="0"/>
                <w:sz w:val="15"/>
                <w:szCs w:val="15"/>
              </w:rPr>
              <w:t>达标</w:t>
            </w:r>
          </w:p>
        </w:tc>
      </w:tr>
    </w:tbl>
    <w:p w14:paraId="2C68F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  <w:t>3.2 碳中和示范园区建设价值评估</w:t>
      </w:r>
    </w:p>
    <w:p w14:paraId="4B3B3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园区的低碳建设价值是园区自身能耗和生态环境品质的提高，也是带动区域新材料产业转型的作用。园区把光伏发电、储能预留、海绵设施、绿色交通以及低碳建筑围护作为统一的技术系统，给防水新材料研发、生产、使用赋予连续低碳环境，促使企业由单一的产品制造型企业转变为材料研发、工程应用和节能服务一体化发展的产业型企业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vertAlign w:val="superscript"/>
          <w:lang w:val="en-US" w:eastAsia="zh-CN"/>
        </w:rPr>
        <w:t>[5]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。依托区域交通条件，园区把低碳材料的供应、生产、应用联系起来，促使上下游的企业重视再生资源的利用、过程节能以及产品全生命周期碳管理，使新材料产业绿色集聚效应得到扩大。</w:t>
      </w:r>
    </w:p>
    <w:p w14:paraId="24E2C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就同类工业园区的建设环境而言，本技术体系有比较清晰的复制路线。平坡式竖向设计适合于高差大、土方外运量大的产业用地，屋面光伏满铺、荷载预留可根据不同的厂房类型做相应的调整，充电设施的数量应根据员工通勤和货运的需求进行配置，透水铺装、下凹绿地、雨水调蓄设施可根据汇水分区灵活搭配。由此得到的空间组织经验，可以为其他新材料园区进行低碳更新、产业功能配置给予参照。</w:t>
      </w:r>
    </w:p>
    <w:p w14:paraId="08E65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 xml:space="preserve">4 </w:t>
      </w: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</w:rPr>
        <w:t>结语</w:t>
      </w:r>
    </w:p>
    <w:p w14:paraId="55F8E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hAnsi="Times New Roman" w:cs="Times New Roman" w:hint="default"/>
          <w:b w:val="0"/>
          <w:bCs w:val="0"/>
          <w:color w:val="auto"/>
          <w:highlight w:val="none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auto"/>
          <w:highlight w:val="none"/>
          <w:lang w:val="en-US" w:eastAsia="zh-CN"/>
        </w:rPr>
        <w:t>园区低碳建设要创建规划布局和运行管理的全过程协同机制，防止节能措施同生态设施、建筑形象相脱离。研究发现，结合生产工艺改善厂房柱网、功能分区有利于原料、加工、仓储、装卸之间衔接，浅色围护材料、连续保温构造、屋面光伏荷载预留控制建筑热环境，提高建筑的能源扩展性，平坡式竖向设计、台地挡墙、下凹绿地、雨水调蓄模块可以满足园区高差要求，减少土方施工量和雨水排放压力，园区要完善人、车、货分流系统，加强充电设施、储能空间、再生水利用和设备检修通道的预留工作，对光伏发电、建筑能耗、雨水回收及碳排放实施动态监测，创建碳排放核算和绩效评定体系，依据生产工艺调整及设备更新需求保持空间及能源系统调节的弹性，改善低碳技术体系的持久适用性并提高推广价值。</w:t>
      </w:r>
    </w:p>
    <w:p w14:paraId="1BD6C7A8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FC7695"/>
    <w:rsid w:val="38D83FB2"/>
    <w:rsid w:val="50FC76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spacing w:after="0" w:line="360" w:lineRule="auto"/>
      <w:ind w:firstLine="200" w:firstLineChars="200"/>
    </w:pPr>
    <w:rPr>
      <w:rFonts w:ascii="Times New Roman" w:eastAsia="宋体" w:hAnsi="Times New Roman"/>
    </w:rPr>
  </w:style>
  <w:style w:type="paragraph" w:customStyle="1" w:styleId="1">
    <w:name w:val="样式1"/>
    <w:basedOn w:val="Normal"/>
    <w:qFormat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  <w:style w:type="table" w:customStyle="1" w:styleId="Table">
    <w:name w:val="Table"/>
    <w:unhideWhenUsed/>
    <w:qFormat/>
    <w:pPr>
      <w:jc w:val="center"/>
    </w:pPr>
    <w:rPr>
      <w:rFonts w:ascii="Times New Roman" w:eastAsia="宋体" w:hAnsi="Times New Roman"/>
      <w:color w:val="000000" w:themeColor="text1"/>
      <w:sz w:val="24"/>
      <w14:textFill>
        <w14:solidFill>
          <w14:schemeClr w14:val="tx1"/>
        </w14:solidFill>
      </w14:textFill>
    </w:rPr>
    <w:tblPr>
      <w:jc w:val="center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eastAsia="宋体"/>
        <w:sz w:val="24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不在奢求</dc:creator>
  <cp:lastModifiedBy>不在奢求</cp:lastModifiedBy>
  <cp:revision>1</cp:revision>
  <dcterms:created xsi:type="dcterms:W3CDTF">2026-11-03T08:04:00Z</dcterms:created>
  <dcterms:modified xsi:type="dcterms:W3CDTF">2026-11-03T08:06:43Z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AD1B804CA6E14679BB6C5120406B2EB5_11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eyJoZGlkIjoiMDVhYTcyYjU1OGRhZGVmMjE2Y2VhMzMzN2U0YWFmMTUiLCJ1c2VySWQiOiI0MDIyNjQyODgifQ==</vt:lpwstr>
  </property>
</Properties>
</file>