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6534D2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7062012A">
      <w:pPr>
        <w:spacing w:line="360" w:lineRule="auto"/>
        <w:jc w:val="center"/>
        <w:rPr>
          <w:rFonts w:ascii="宋体" w:eastAsia="宋体" w:hAnsi="宋体" w:cs="宋体" w:hint="eastAsia"/>
          <w:b/>
          <w:bCs/>
          <w:sz w:val="28"/>
          <w:szCs w:val="28"/>
          <w:highlight w:val="red"/>
        </w:rPr>
      </w:pPr>
      <w:r>
        <w:rPr>
          <w:rFonts w:ascii="宋体" w:eastAsia="宋体" w:hAnsi="宋体" w:cs="宋体" w:hint="eastAsia"/>
          <w:b/>
          <w:bCs/>
          <w:sz w:val="28"/>
          <w:szCs w:val="28"/>
        </w:rPr>
        <w:t>科创产业园配套建筑布局与空间参数适配设计研究</w:t>
      </w:r>
    </w:p>
    <w:p w14:paraId="4D89BC5B">
      <w:pPr>
        <w:spacing w:line="360" w:lineRule="auto"/>
        <w:ind w:firstLine="420" w:firstLineChars="200"/>
        <w:rPr>
          <w:rFonts w:ascii="宋体" w:eastAsia="宋体" w:hAnsi="宋体" w:cs="Times New Roman" w:hint="default"/>
          <w:b/>
          <w:bCs/>
          <w:color w:val="FF0000"/>
          <w:sz w:val="21"/>
          <w:szCs w:val="21"/>
        </w:rPr>
      </w:pPr>
    </w:p>
    <w:p w14:paraId="387E9ED0">
      <w:pPr>
        <w:spacing w:line="360" w:lineRule="auto"/>
        <w:ind w:firstLine="420" w:firstLineChars="200"/>
        <w:rPr>
          <w:rFonts w:ascii="Times New Roman" w:eastAsia="宋体" w:hAnsi="Times New Roman" w:cs="Times New Roman" w:hint="default"/>
          <w:b w:val="0"/>
          <w:bCs w:val="0"/>
          <w:color w:val="FF0000"/>
          <w:sz w:val="21"/>
          <w:szCs w:val="21"/>
          <w:highlight w:val="none"/>
        </w:rPr>
      </w:pPr>
      <w:r>
        <w:rPr>
          <w:rFonts w:ascii="宋体" w:eastAsia="宋体" w:hAnsi="宋体" w:cs="Times New Roman" w:hint="default"/>
          <w:b/>
          <w:bCs/>
          <w:color w:val="FF0000"/>
          <w:sz w:val="21"/>
          <w:szCs w:val="21"/>
        </w:rPr>
        <w:t>摘要:</w:t>
      </w:r>
      <w:r>
        <w:rPr>
          <w:rFonts w:ascii="Times New Roman" w:eastAsia="宋体" w:hAnsi="Times New Roman" w:cs="Times New Roman" w:hint="default"/>
          <w:b w:val="0"/>
          <w:bCs w:val="0"/>
          <w:color w:val="FF0000"/>
          <w:sz w:val="21"/>
          <w:szCs w:val="21"/>
          <w:highlight w:val="none"/>
        </w:rPr>
        <w:t>根据某航空零组件智能产业园配套建筑布局受控规指标、地形、安全控制的限制建立一个由规模、形体空间、使用空间、产业人群差异构成的空间参数适应体系，设计出“办公、孵化、宿舍”一体化布局模式和城市界面衔接的策略，最后检验效果。结果表明货运噪声干扰时间减少80%，人货流交叉次数减少77.8%，配套区车位的利用率提高到92%，员工平均通勤时间缩短了15分钟，空间使用便利度评分达到90分以上，园区运行效率得到了显著提高。</w:t>
      </w:r>
    </w:p>
    <w:p w14:paraId="6D2A2E8E">
      <w:pPr>
        <w:spacing w:line="360" w:lineRule="auto"/>
        <w:rPr>
          <w:rFonts w:ascii="Times New Roman" w:eastAsia="宋体" w:hAnsi="Times New Roman" w:cs="Times New Roman" w:hint="default"/>
          <w:b w:val="0"/>
          <w:bCs w:val="0"/>
          <w:color w:val="FF0000"/>
          <w:highlight w:val="none"/>
        </w:rPr>
      </w:pPr>
      <w:r>
        <w:rPr>
          <w:rFonts w:ascii="宋体" w:eastAsia="宋体" w:hAnsi="宋体" w:cs="Times New Roman" w:hint="default"/>
          <w:b/>
          <w:bCs/>
          <w:color w:val="FF0000"/>
          <w:szCs w:val="22"/>
        </w:rPr>
        <w:t>关键词:</w:t>
      </w:r>
      <w:r>
        <w:rPr>
          <w:rFonts w:ascii="Times New Roman" w:eastAsia="宋体" w:hAnsi="Times New Roman" w:cs="Times New Roman" w:hint="default"/>
          <w:b w:val="0"/>
          <w:bCs w:val="0"/>
          <w:color w:val="FF0000"/>
          <w:highlight w:val="none"/>
        </w:rPr>
        <w:t>航空零组件产业园；配套建筑布局；空间参数适配；一体化布局；城市界面衔接</w:t>
      </w:r>
    </w:p>
    <w:p w14:paraId="3BD0A5B0">
      <w:pPr>
        <w:spacing w:line="360" w:lineRule="auto"/>
        <w:rPr>
          <w:rFonts w:ascii="Times New Roman" w:eastAsia="宋体" w:hAnsi="Times New Roman" w:cs="Times New Roman" w:hint="default"/>
          <w:b w:val="0"/>
          <w:bCs w:val="0"/>
          <w:color w:val="FF0000"/>
          <w:highlight w:val="none"/>
        </w:rPr>
      </w:pPr>
      <w:r>
        <w:rPr>
          <w:rFonts w:ascii="Times New Roman" w:eastAsia="宋体" w:hAnsi="Times New Roman" w:cs="Times New Roman" w:hint="default"/>
          <w:b w:val="0"/>
          <w:bCs w:val="0"/>
          <w:color w:val="FF0000"/>
          <w:highlight w:val="none"/>
          <w:lang w:val="en-US" w:eastAsia="zh-CN"/>
        </w:rPr>
        <w:t xml:space="preserve">0 </w:t>
      </w:r>
      <w:r>
        <w:rPr>
          <w:rFonts w:ascii="Times New Roman" w:eastAsia="宋体" w:hAnsi="Times New Roman" w:cs="Times New Roman" w:hint="default"/>
          <w:b w:val="0"/>
          <w:bCs w:val="0"/>
          <w:color w:val="FF0000"/>
          <w:highlight w:val="none"/>
        </w:rPr>
        <w:t>引言</w:t>
      </w:r>
    </w:p>
    <w:p w14:paraId="042A26E9">
      <w:pPr>
        <w:spacing w:line="360" w:lineRule="auto"/>
        <w:rPr>
          <w:rFonts w:ascii="Times New Roman" w:eastAsia="宋体" w:hAnsi="Times New Roman" w:cs="Times New Roman" w:hint="default"/>
          <w:b w:val="0"/>
          <w:bCs w:val="0"/>
          <w:color w:val="FF0000"/>
          <w:highlight w:val="none"/>
        </w:rPr>
      </w:pPr>
      <w:r>
        <w:rPr>
          <w:rFonts w:ascii="Times New Roman" w:eastAsia="宋体" w:hAnsi="Times New Roman" w:cs="Times New Roman" w:hint="eastAsia"/>
          <w:b w:val="0"/>
          <w:bCs w:val="0"/>
          <w:color w:val="FF0000"/>
          <w:highlight w:val="none"/>
          <w:lang w:val="en-US" w:eastAsia="zh-CN"/>
        </w:rPr>
        <w:t xml:space="preserve">  </w:t>
      </w:r>
      <w:r>
        <w:rPr>
          <w:rFonts w:ascii="Times New Roman" w:eastAsia="宋体" w:hAnsi="Times New Roman" w:cs="Times New Roman" w:hint="default"/>
          <w:b w:val="0"/>
          <w:bCs w:val="0"/>
          <w:color w:val="FF0000"/>
          <w:highlight w:val="none"/>
          <w:lang w:val="en-US" w:eastAsia="zh-CN"/>
        </w:rPr>
        <w:t>航空零配件产业智能化转型的园区配套建筑布局要满足功能紧凑、安全隔离、地形适应性、控规指标的要求，但是现状存在功能分区不清、流线交叉多、地形利用少等现象，影响运行效率以及空间体验[1]。鉴于目前正在进行的用地管理工作的需要，行政办公、生活服务设施用地面积不能大于工业项目的总用地面积的7%，建筑面积不能大于工业项目总建筑面积的15%，给配套建筑的布局设定了硬性限制。针对某航空零配件智能化产业园场地北高南低、西高东低复合坡向，总用地面积239553.45平方米、容积率为1.43的约束条件，建立空间参数匹配体系，设计一体化布局模式以及城市界面衔接的方法，为类似产业园配套建筑的布局提供参考</w:t>
      </w:r>
      <w:r>
        <w:rPr>
          <w:rFonts w:ascii="Times New Roman" w:eastAsia="宋体" w:hAnsi="Times New Roman" w:cs="Times New Roman" w:hint="default"/>
          <w:b w:val="0"/>
          <w:bCs w:val="0"/>
          <w:color w:val="FF0000"/>
          <w:highlight w:val="none"/>
          <w:vertAlign w:val="superscript"/>
          <w:lang w:val="en-US" w:eastAsia="zh-CN"/>
        </w:rPr>
        <w:t>[2]</w:t>
      </w:r>
      <w:r>
        <w:rPr>
          <w:rFonts w:ascii="Times New Roman" w:eastAsia="宋体" w:hAnsi="Times New Roman" w:cs="Times New Roman" w:hint="default"/>
          <w:b w:val="0"/>
          <w:bCs w:val="0"/>
          <w:color w:val="FF0000"/>
          <w:highlight w:val="none"/>
          <w:lang w:val="en-US" w:eastAsia="zh-CN"/>
        </w:rPr>
        <w:t>。</w:t>
      </w:r>
    </w:p>
    <w:p w14:paraId="4F0F0BF2">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7801C36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imes New Roman" w:eastAsia="宋体" w:hAnsi="Times New Roman" w:cs="Times New Roman" w:hint="eastAsia"/>
          <w:b w:val="0"/>
          <w:bCs w:val="0"/>
          <w:color w:val="FF0000"/>
          <w:highlight w:val="none"/>
          <w:lang w:eastAsia="zh-CN"/>
        </w:rPr>
      </w:pPr>
      <w:r>
        <w:rPr>
          <w:rFonts w:ascii="Times New Roman" w:eastAsia="宋体" w:hAnsi="Times New Roman" w:cs="Times New Roman" w:hint="default"/>
          <w:b w:val="0"/>
          <w:bCs w:val="0"/>
          <w:color w:val="FF0000"/>
          <w:highlight w:val="none"/>
        </w:rPr>
        <w:t>体系中对于产业人群的差异参数有生产操作工、研发孵化人员、行政管理人员这三种人的活动特点的区分，生产人员具有潮汐式的换班出行特征，研发人员对于交流休憩空间的需求比生产人员要高一些，管理人员的访客接待次数较多。此人群特征反向限制广场容量、步行道宽度、停车分区及配套服务节点的位置布置，使得参数取值不能简单地满足规范下限，而要根据园区真实的使用行为进行取值</w:t>
      </w:r>
      <w:r>
        <w:rPr>
          <w:rFonts w:ascii="Times New Roman" w:eastAsia="宋体" w:hAnsi="Times New Roman" w:cs="Times New Roman" w:hint="eastAsia"/>
          <w:b w:val="0"/>
          <w:bCs w:val="0"/>
          <w:color w:val="FF0000"/>
          <w:highlight w:val="none"/>
          <w:lang w:eastAsia="zh-CN"/>
        </w:rPr>
        <w:t>。</w:t>
      </w:r>
    </w:p>
    <w:p w14:paraId="226FFDE3">
      <w:pPr>
        <w:jc w:val="center"/>
        <w:rPr>
          <w:rFonts w:ascii="Times New Roman" w:eastAsia="黑体" w:hAnsi="Times New Roman" w:cs="Times New Roman" w:hint="default"/>
          <w:color w:val="FF0000"/>
          <w:sz w:val="19"/>
          <w:szCs w:val="19"/>
        </w:rPr>
      </w:pPr>
      <w:r>
        <w:rPr>
          <w:rFonts w:ascii="Times New Roman" w:eastAsia="黑体" w:hAnsi="Times New Roman" w:cs="Times New Roman" w:hint="default"/>
          <w:color w:val="FF0000"/>
          <w:sz w:val="19"/>
          <w:szCs w:val="19"/>
        </w:rPr>
        <w:t xml:space="preserve">表1 </w:t>
      </w:r>
      <w:r>
        <w:rPr>
          <w:rFonts w:ascii="Times New Roman" w:eastAsia="黑体" w:hAnsi="Times New Roman" w:cs="Times New Roman" w:hint="eastAsia"/>
          <w:color w:val="FF0000"/>
          <w:sz w:val="19"/>
          <w:szCs w:val="19"/>
          <w:lang w:val="en-US" w:eastAsia="zh-CN"/>
        </w:rPr>
        <w:t>某</w:t>
      </w:r>
      <w:r>
        <w:rPr>
          <w:rFonts w:ascii="Times New Roman" w:eastAsia="黑体" w:hAnsi="Times New Roman" w:cs="Times New Roman" w:hint="default"/>
          <w:color w:val="FF0000"/>
          <w:sz w:val="19"/>
          <w:szCs w:val="19"/>
        </w:rPr>
        <w:t>航空零组件智能化产业园配套区与生产区空间参数对比表</w:t>
      </w:r>
    </w:p>
    <w:tbl>
      <w:tblPr>
        <w:tblStyle w:val="Table"/>
        <w:tblW w:w="8522" w:type="dxa"/>
        <w:jc w:val="center"/>
        <w:tblBorders>
          <w:top w:val="none" w:sz="12" w:space="0" w:color="auto"/>
          <w:left w:val="none" w:sz="0" w:space="0" w:color="auto"/>
          <w:bottom w:val="none" w:sz="12" w:space="0" w:color="auto"/>
          <w:right w:val="none" w:sz="0" w:space="0" w:color="auto"/>
          <w:insideH w:val="none" w:sz="0" w:space="0" w:color="auto"/>
          <w:insideV w:val="none" w:sz="0" w:space="0" w:color="auto"/>
        </w:tblBorders>
        <w:tblCellMar>
          <w:top w:w="0" w:type="dxa"/>
          <w:left w:w="108" w:type="dxa"/>
          <w:bottom w:w="0" w:type="dxa"/>
          <w:right w:w="108" w:type="dxa"/>
        </w:tblCellMar>
      </w:tblPr>
      <w:tblGrid>
        <w:gridCol w:w="1253"/>
        <w:gridCol w:w="2751"/>
        <w:gridCol w:w="2223"/>
        <w:gridCol w:w="2295"/>
      </w:tblGrid>
      <w:tr w14:paraId="5CD94593">
        <w:tblPrEx>
          <w:tblW w:w="8522" w:type="dxa"/>
          <w:jc w:val="center"/>
          <w:tblBorders>
            <w:top w:val="none" w:sz="12" w:space="0" w:color="auto"/>
            <w:left w:val="none" w:sz="0" w:space="0" w:color="auto"/>
            <w:bottom w:val="none" w:sz="12" w:space="0" w:color="auto"/>
            <w:right w:val="none" w:sz="0" w:space="0" w:color="auto"/>
            <w:insideH w:val="none" w:sz="0" w:space="0" w:color="auto"/>
            <w:insideV w:val="none" w:sz="0" w:space="0" w:color="auto"/>
          </w:tblBorders>
          <w:tblCellMar>
            <w:top w:w="0" w:type="dxa"/>
            <w:left w:w="108" w:type="dxa"/>
            <w:bottom w:w="0" w:type="dxa"/>
            <w:right w:w="108" w:type="dxa"/>
          </w:tblCellMar>
        </w:tblPrEx>
        <w:trPr>
          <w:trHeight w:hRule="auto" w:val="0"/>
          <w:tblHeader/>
          <w:jc w:val="center"/>
        </w:trPr>
        <w:tc>
          <w:tcPr>
            <w:tcW w:w="1253" w:type="dxa"/>
            <w:tcBorders>
              <w:top w:val="single" w:sz="12" w:space="0" w:color="auto"/>
              <w:left w:val="nil"/>
              <w:bottom w:val="nil"/>
              <w:right w:val="nil"/>
            </w:tcBorders>
            <w:noWrap w:val="0"/>
            <w:tcMar>
              <w:top w:w="-1" w:type="dxa"/>
              <w:left w:w="-1" w:type="dxa"/>
              <w:bottom w:w="-1" w:type="dxa"/>
              <w:right w:w="-1" w:type="dxa"/>
            </w:tcMar>
            <w:vAlign w:val="center"/>
          </w:tcPr>
          <w:p w14:paraId="2A69FA45">
            <w:pPr>
              <w:widowControl/>
              <w:jc w:val="center"/>
              <w:rPr>
                <w:rFonts w:ascii="Times New Roman" w:eastAsia="宋体" w:hAnsi="Times New Roman" w:cs="Times New Roman" w:hint="default"/>
                <w:color w:val="FF0000"/>
                <w:kern w:val="0"/>
                <w:sz w:val="15"/>
                <w:szCs w:val="15"/>
              </w:rPr>
            </w:pPr>
            <w:r>
              <w:rPr>
                <w:rFonts w:ascii="Times New Roman" w:eastAsia="宋体" w:hAnsi="Times New Roman" w:cs="Times New Roman" w:hint="default"/>
                <w:color w:val="FF0000"/>
                <w:kern w:val="0"/>
                <w:sz w:val="15"/>
                <w:szCs w:val="15"/>
              </w:rPr>
              <w:t>参数类型</w:t>
            </w:r>
          </w:p>
        </w:tc>
        <w:tc>
          <w:tcPr>
            <w:tcW w:w="2751" w:type="dxa"/>
            <w:tcBorders>
              <w:top w:val="single" w:sz="12" w:space="0" w:color="auto"/>
              <w:left w:val="nil"/>
              <w:bottom w:val="nil"/>
              <w:right w:val="nil"/>
            </w:tcBorders>
            <w:noWrap w:val="0"/>
            <w:tcMar>
              <w:top w:w="-1" w:type="dxa"/>
              <w:left w:w="-1" w:type="dxa"/>
              <w:bottom w:w="-1" w:type="dxa"/>
              <w:right w:w="-1" w:type="dxa"/>
            </w:tcMar>
            <w:vAlign w:val="center"/>
          </w:tcPr>
          <w:p w14:paraId="43122101">
            <w:pPr>
              <w:widowControl/>
              <w:jc w:val="center"/>
              <w:rPr>
                <w:rFonts w:ascii="Times New Roman" w:eastAsia="宋体" w:hAnsi="Times New Roman" w:cs="Times New Roman" w:hint="default"/>
                <w:color w:val="FF0000"/>
                <w:kern w:val="0"/>
                <w:sz w:val="15"/>
                <w:szCs w:val="15"/>
              </w:rPr>
            </w:pPr>
            <w:r>
              <w:rPr>
                <w:rFonts w:ascii="Times New Roman" w:eastAsia="宋体" w:hAnsi="Times New Roman" w:cs="Times New Roman" w:hint="default"/>
                <w:color w:val="FF0000"/>
                <w:kern w:val="0"/>
                <w:sz w:val="15"/>
                <w:szCs w:val="15"/>
              </w:rPr>
              <w:t>配套区参数</w:t>
            </w:r>
          </w:p>
        </w:tc>
        <w:tc>
          <w:tcPr>
            <w:tcW w:w="2223" w:type="dxa"/>
            <w:tcBorders>
              <w:top w:val="single" w:sz="12" w:space="0" w:color="auto"/>
              <w:left w:val="nil"/>
              <w:bottom w:val="nil"/>
              <w:right w:val="nil"/>
            </w:tcBorders>
            <w:noWrap w:val="0"/>
            <w:tcMar>
              <w:top w:w="-1" w:type="dxa"/>
              <w:left w:w="-1" w:type="dxa"/>
              <w:bottom w:w="-1" w:type="dxa"/>
              <w:right w:w="-1" w:type="dxa"/>
            </w:tcMar>
            <w:vAlign w:val="center"/>
          </w:tcPr>
          <w:p w14:paraId="6124358A">
            <w:pPr>
              <w:widowControl/>
              <w:jc w:val="center"/>
              <w:rPr>
                <w:rFonts w:ascii="Times New Roman" w:eastAsia="宋体" w:hAnsi="Times New Roman" w:cs="Times New Roman" w:hint="default"/>
                <w:color w:val="FF0000"/>
                <w:kern w:val="0"/>
                <w:sz w:val="15"/>
                <w:szCs w:val="15"/>
              </w:rPr>
            </w:pPr>
            <w:r>
              <w:rPr>
                <w:rFonts w:ascii="Times New Roman" w:eastAsia="宋体" w:hAnsi="Times New Roman" w:cs="Times New Roman" w:hint="default"/>
                <w:color w:val="FF0000"/>
                <w:kern w:val="0"/>
                <w:sz w:val="15"/>
                <w:szCs w:val="15"/>
              </w:rPr>
              <w:t>生产区参数</w:t>
            </w:r>
          </w:p>
        </w:tc>
        <w:tc>
          <w:tcPr>
            <w:tcW w:w="2295" w:type="dxa"/>
            <w:tcBorders>
              <w:top w:val="single" w:sz="12" w:space="0" w:color="auto"/>
              <w:left w:val="nil"/>
              <w:bottom w:val="nil"/>
              <w:right w:val="nil"/>
            </w:tcBorders>
            <w:noWrap w:val="0"/>
            <w:tcMar>
              <w:top w:w="-1" w:type="dxa"/>
              <w:left w:w="-1" w:type="dxa"/>
              <w:bottom w:w="-1" w:type="dxa"/>
              <w:right w:w="-1" w:type="dxa"/>
            </w:tcMar>
            <w:vAlign w:val="center"/>
          </w:tcPr>
          <w:p w14:paraId="0B97F8DD">
            <w:pPr>
              <w:widowControl/>
              <w:jc w:val="center"/>
              <w:rPr>
                <w:rFonts w:ascii="Times New Roman" w:eastAsia="宋体" w:hAnsi="Times New Roman" w:cs="Times New Roman" w:hint="default"/>
                <w:color w:val="FF0000"/>
                <w:kern w:val="0"/>
                <w:sz w:val="15"/>
                <w:szCs w:val="15"/>
              </w:rPr>
            </w:pPr>
            <w:r>
              <w:rPr>
                <w:rFonts w:ascii="Times New Roman" w:eastAsia="宋体" w:hAnsi="Times New Roman" w:cs="Times New Roman" w:hint="default"/>
                <w:color w:val="FF0000"/>
                <w:kern w:val="0"/>
                <w:sz w:val="15"/>
                <w:szCs w:val="15"/>
              </w:rPr>
              <w:t>参数确定依据</w:t>
            </w:r>
          </w:p>
        </w:tc>
      </w:tr>
      <w:tr w14:paraId="4ADF68DC">
        <w:tblPrEx>
          <w:tblW w:w="8522" w:type="dxa"/>
          <w:jc w:val="center"/>
          <w:tblCellMar>
            <w:top w:w="0" w:type="dxa"/>
            <w:left w:w="108" w:type="dxa"/>
            <w:bottom w:w="0" w:type="dxa"/>
            <w:right w:w="108" w:type="dxa"/>
          </w:tblCellMar>
        </w:tblPrEx>
        <w:trPr>
          <w:trHeight w:hRule="auto" w:val="0"/>
          <w:jc w:val="center"/>
        </w:trPr>
        <w:tc>
          <w:tcPr>
            <w:tcW w:w="1253" w:type="dxa"/>
            <w:tcBorders>
              <w:top w:val="single" w:sz="4" w:space="0" w:color="auto"/>
              <w:left w:val="nil"/>
              <w:bottom w:val="nil"/>
              <w:right w:val="nil"/>
            </w:tcBorders>
            <w:noWrap w:val="0"/>
            <w:tcMar>
              <w:top w:w="-1" w:type="dxa"/>
              <w:left w:w="-1" w:type="dxa"/>
              <w:bottom w:w="-1" w:type="dxa"/>
              <w:right w:w="-1" w:type="dxa"/>
            </w:tcMar>
            <w:vAlign w:val="center"/>
          </w:tcPr>
          <w:p w14:paraId="1D5C8510">
            <w:pPr>
              <w:widowControl/>
              <w:jc w:val="center"/>
              <w:rPr>
                <w:rFonts w:ascii="Times New Roman" w:eastAsia="宋体" w:hAnsi="Times New Roman" w:cs="Times New Roman" w:hint="default"/>
                <w:color w:val="FF0000"/>
                <w:kern w:val="0"/>
                <w:sz w:val="15"/>
                <w:szCs w:val="15"/>
              </w:rPr>
            </w:pPr>
            <w:r>
              <w:rPr>
                <w:rFonts w:ascii="Times New Roman" w:eastAsia="宋体" w:hAnsi="Times New Roman" w:cs="Times New Roman" w:hint="default"/>
                <w:color w:val="FF0000"/>
                <w:kern w:val="0"/>
                <w:sz w:val="15"/>
                <w:szCs w:val="15"/>
              </w:rPr>
              <w:t>停车泊位</w:t>
            </w:r>
          </w:p>
        </w:tc>
        <w:tc>
          <w:tcPr>
            <w:tcW w:w="2751" w:type="dxa"/>
            <w:tcBorders>
              <w:top w:val="single" w:sz="4" w:space="0" w:color="auto"/>
              <w:left w:val="nil"/>
              <w:bottom w:val="nil"/>
              <w:right w:val="nil"/>
            </w:tcBorders>
            <w:noWrap w:val="0"/>
            <w:tcMar>
              <w:top w:w="-1" w:type="dxa"/>
              <w:left w:w="-1" w:type="dxa"/>
              <w:bottom w:w="-1" w:type="dxa"/>
              <w:right w:w="-1" w:type="dxa"/>
            </w:tcMar>
            <w:vAlign w:val="center"/>
          </w:tcPr>
          <w:p w14:paraId="3F834335">
            <w:pPr>
              <w:widowControl/>
              <w:jc w:val="center"/>
              <w:rPr>
                <w:rFonts w:ascii="Times New Roman" w:eastAsia="宋体" w:hAnsi="Times New Roman" w:cs="Times New Roman" w:hint="default"/>
                <w:color w:val="FF0000"/>
                <w:kern w:val="0"/>
                <w:sz w:val="15"/>
                <w:szCs w:val="15"/>
              </w:rPr>
            </w:pPr>
            <w:r>
              <w:rPr>
                <w:rFonts w:ascii="Times New Roman" w:eastAsia="宋体" w:hAnsi="Times New Roman" w:cs="Times New Roman" w:hint="default"/>
                <w:color w:val="FF0000"/>
                <w:kern w:val="0"/>
                <w:sz w:val="15"/>
                <w:szCs w:val="15"/>
              </w:rPr>
              <w:t>全园区905辆，配套区集中（地上+地下）</w:t>
            </w:r>
          </w:p>
        </w:tc>
        <w:tc>
          <w:tcPr>
            <w:tcW w:w="2223" w:type="dxa"/>
            <w:tcBorders>
              <w:top w:val="single" w:sz="4" w:space="0" w:color="auto"/>
              <w:left w:val="nil"/>
              <w:bottom w:val="nil"/>
              <w:right w:val="nil"/>
            </w:tcBorders>
            <w:noWrap w:val="0"/>
            <w:tcMar>
              <w:top w:w="-1" w:type="dxa"/>
              <w:left w:w="-1" w:type="dxa"/>
              <w:bottom w:w="-1" w:type="dxa"/>
              <w:right w:w="-1" w:type="dxa"/>
            </w:tcMar>
            <w:vAlign w:val="center"/>
          </w:tcPr>
          <w:p w14:paraId="79992BFE">
            <w:pPr>
              <w:widowControl/>
              <w:jc w:val="center"/>
              <w:rPr>
                <w:rFonts w:ascii="Times New Roman" w:eastAsia="宋体" w:hAnsi="Times New Roman" w:cs="Times New Roman" w:hint="default"/>
                <w:color w:val="FF0000"/>
                <w:kern w:val="0"/>
                <w:sz w:val="15"/>
                <w:szCs w:val="15"/>
              </w:rPr>
            </w:pPr>
            <w:r>
              <w:rPr>
                <w:rFonts w:ascii="Times New Roman" w:eastAsia="宋体" w:hAnsi="Times New Roman" w:cs="Times New Roman" w:hint="default"/>
                <w:color w:val="FF0000"/>
                <w:kern w:val="0"/>
                <w:sz w:val="15"/>
                <w:szCs w:val="15"/>
              </w:rPr>
              <w:t>生产区就近停车</w:t>
            </w:r>
          </w:p>
        </w:tc>
        <w:tc>
          <w:tcPr>
            <w:tcW w:w="2295" w:type="dxa"/>
            <w:tcBorders>
              <w:top w:val="single" w:sz="4" w:space="0" w:color="auto"/>
              <w:left w:val="nil"/>
              <w:bottom w:val="nil"/>
              <w:right w:val="nil"/>
            </w:tcBorders>
            <w:noWrap w:val="0"/>
            <w:tcMar>
              <w:top w:w="-1" w:type="dxa"/>
              <w:left w:w="-1" w:type="dxa"/>
              <w:bottom w:w="-1" w:type="dxa"/>
              <w:right w:w="-1" w:type="dxa"/>
            </w:tcMar>
            <w:vAlign w:val="center"/>
          </w:tcPr>
          <w:p w14:paraId="37C72672">
            <w:pPr>
              <w:widowControl/>
              <w:jc w:val="center"/>
              <w:rPr>
                <w:rFonts w:ascii="Times New Roman" w:eastAsia="宋体" w:hAnsi="Times New Roman" w:cs="Times New Roman" w:hint="default"/>
                <w:color w:val="FF0000"/>
                <w:kern w:val="0"/>
                <w:sz w:val="15"/>
                <w:szCs w:val="15"/>
              </w:rPr>
            </w:pPr>
            <w:r>
              <w:rPr>
                <w:rFonts w:ascii="Times New Roman" w:eastAsia="宋体" w:hAnsi="Times New Roman" w:cs="Times New Roman" w:hint="default"/>
                <w:color w:val="FF0000"/>
                <w:kern w:val="0"/>
                <w:sz w:val="15"/>
                <w:szCs w:val="15"/>
              </w:rPr>
              <w:t>控规给定条件</w:t>
            </w:r>
          </w:p>
        </w:tc>
      </w:tr>
      <w:tr w14:paraId="59B41326">
        <w:tblPrEx>
          <w:tblW w:w="8522" w:type="dxa"/>
          <w:jc w:val="center"/>
          <w:tblCellMar>
            <w:top w:w="0" w:type="dxa"/>
            <w:left w:w="108" w:type="dxa"/>
            <w:bottom w:w="0" w:type="dxa"/>
            <w:right w:w="108" w:type="dxa"/>
          </w:tblCellMar>
        </w:tblPrEx>
        <w:trPr>
          <w:trHeight w:hRule="auto" w:val="0"/>
          <w:jc w:val="center"/>
        </w:trPr>
        <w:tc>
          <w:tcPr>
            <w:tcW w:w="1253" w:type="dxa"/>
            <w:tcBorders>
              <w:top w:val="nil"/>
              <w:left w:val="nil"/>
              <w:bottom w:val="nil"/>
              <w:right w:val="nil"/>
            </w:tcBorders>
            <w:noWrap w:val="0"/>
            <w:tcMar>
              <w:top w:w="-1" w:type="dxa"/>
              <w:left w:w="-1" w:type="dxa"/>
              <w:bottom w:w="-1" w:type="dxa"/>
              <w:right w:w="-1" w:type="dxa"/>
            </w:tcMar>
            <w:vAlign w:val="center"/>
          </w:tcPr>
          <w:p w14:paraId="6A553618">
            <w:pPr>
              <w:widowControl/>
              <w:jc w:val="center"/>
              <w:rPr>
                <w:rFonts w:ascii="Times New Roman" w:eastAsia="宋体" w:hAnsi="Times New Roman" w:cs="Times New Roman" w:hint="default"/>
                <w:color w:val="FF0000"/>
                <w:kern w:val="0"/>
                <w:sz w:val="15"/>
                <w:szCs w:val="15"/>
              </w:rPr>
            </w:pPr>
            <w:r>
              <w:rPr>
                <w:rFonts w:ascii="Times New Roman" w:eastAsia="宋体" w:hAnsi="Times New Roman" w:cs="Times New Roman" w:hint="default"/>
                <w:color w:val="FF0000"/>
                <w:kern w:val="0"/>
                <w:sz w:val="15"/>
                <w:szCs w:val="15"/>
              </w:rPr>
              <w:t>道路坡度</w:t>
            </w:r>
          </w:p>
        </w:tc>
        <w:tc>
          <w:tcPr>
            <w:tcW w:w="2751" w:type="dxa"/>
            <w:tcBorders>
              <w:top w:val="nil"/>
              <w:left w:val="nil"/>
              <w:bottom w:val="nil"/>
              <w:right w:val="nil"/>
            </w:tcBorders>
            <w:noWrap w:val="0"/>
            <w:tcMar>
              <w:top w:w="-1" w:type="dxa"/>
              <w:left w:w="-1" w:type="dxa"/>
              <w:bottom w:w="-1" w:type="dxa"/>
              <w:right w:w="-1" w:type="dxa"/>
            </w:tcMar>
            <w:vAlign w:val="center"/>
          </w:tcPr>
          <w:p w14:paraId="3A779626">
            <w:pPr>
              <w:widowControl/>
              <w:jc w:val="center"/>
              <w:rPr>
                <w:rFonts w:ascii="Times New Roman" w:eastAsia="宋体" w:hAnsi="Times New Roman" w:cs="Times New Roman" w:hint="default"/>
                <w:color w:val="FF0000"/>
                <w:kern w:val="0"/>
                <w:sz w:val="15"/>
                <w:szCs w:val="15"/>
              </w:rPr>
            </w:pPr>
            <w:r>
              <w:rPr>
                <w:rFonts w:ascii="Times New Roman" w:eastAsia="宋体" w:hAnsi="Times New Roman" w:cs="Times New Roman" w:hint="default"/>
                <w:color w:val="FF0000"/>
                <w:kern w:val="0"/>
                <w:sz w:val="15"/>
                <w:szCs w:val="15"/>
              </w:rPr>
              <w:t>0.3%至3%</w:t>
            </w:r>
          </w:p>
        </w:tc>
        <w:tc>
          <w:tcPr>
            <w:tcW w:w="2223" w:type="dxa"/>
            <w:tcBorders>
              <w:top w:val="nil"/>
              <w:left w:val="nil"/>
              <w:bottom w:val="nil"/>
              <w:right w:val="nil"/>
            </w:tcBorders>
            <w:noWrap w:val="0"/>
            <w:tcMar>
              <w:top w:w="-1" w:type="dxa"/>
              <w:left w:w="-1" w:type="dxa"/>
              <w:bottom w:w="-1" w:type="dxa"/>
              <w:right w:w="-1" w:type="dxa"/>
            </w:tcMar>
            <w:vAlign w:val="center"/>
          </w:tcPr>
          <w:p w14:paraId="4EE2DE28">
            <w:pPr>
              <w:widowControl/>
              <w:jc w:val="center"/>
              <w:rPr>
                <w:rFonts w:ascii="Times New Roman" w:eastAsia="宋体" w:hAnsi="Times New Roman" w:cs="Times New Roman" w:hint="default"/>
                <w:color w:val="FF0000"/>
                <w:kern w:val="0"/>
                <w:sz w:val="15"/>
                <w:szCs w:val="15"/>
              </w:rPr>
            </w:pPr>
            <w:r>
              <w:rPr>
                <w:rFonts w:ascii="Times New Roman" w:eastAsia="宋体" w:hAnsi="Times New Roman" w:cs="Times New Roman" w:hint="default"/>
                <w:color w:val="FF0000"/>
                <w:kern w:val="0"/>
                <w:sz w:val="15"/>
                <w:szCs w:val="15"/>
              </w:rPr>
              <w:t>0.3%至3%</w:t>
            </w:r>
          </w:p>
        </w:tc>
        <w:tc>
          <w:tcPr>
            <w:tcW w:w="2295" w:type="dxa"/>
            <w:tcBorders>
              <w:top w:val="nil"/>
              <w:left w:val="nil"/>
              <w:bottom w:val="nil"/>
              <w:right w:val="nil"/>
            </w:tcBorders>
            <w:noWrap w:val="0"/>
            <w:tcMar>
              <w:top w:w="-1" w:type="dxa"/>
              <w:left w:w="-1" w:type="dxa"/>
              <w:bottom w:w="-1" w:type="dxa"/>
              <w:right w:w="-1" w:type="dxa"/>
            </w:tcMar>
            <w:vAlign w:val="center"/>
          </w:tcPr>
          <w:p w14:paraId="63C78D71">
            <w:pPr>
              <w:widowControl/>
              <w:jc w:val="center"/>
              <w:rPr>
                <w:rFonts w:ascii="Times New Roman" w:eastAsia="宋体" w:hAnsi="Times New Roman" w:cs="Times New Roman" w:hint="default"/>
                <w:color w:val="FF0000"/>
                <w:kern w:val="0"/>
                <w:sz w:val="15"/>
                <w:szCs w:val="15"/>
              </w:rPr>
            </w:pPr>
            <w:r>
              <w:rPr>
                <w:rFonts w:ascii="Times New Roman" w:eastAsia="宋体" w:hAnsi="Times New Roman" w:cs="Times New Roman" w:hint="default"/>
                <w:color w:val="FF0000"/>
                <w:kern w:val="0"/>
                <w:sz w:val="15"/>
                <w:szCs w:val="15"/>
              </w:rPr>
              <w:t>坡地排水、车辆运行以及步行舒适性</w:t>
            </w:r>
          </w:p>
        </w:tc>
      </w:tr>
      <w:tr w14:paraId="60DCAB92">
        <w:tblPrEx>
          <w:tblW w:w="8522" w:type="dxa"/>
          <w:jc w:val="center"/>
          <w:tblCellMar>
            <w:top w:w="0" w:type="dxa"/>
            <w:left w:w="108" w:type="dxa"/>
            <w:bottom w:w="0" w:type="dxa"/>
            <w:right w:w="108" w:type="dxa"/>
          </w:tblCellMar>
        </w:tblPrEx>
        <w:trPr>
          <w:trHeight w:hRule="auto" w:val="0"/>
          <w:jc w:val="center"/>
        </w:trPr>
        <w:tc>
          <w:tcPr>
            <w:tcW w:w="1253" w:type="dxa"/>
            <w:tcBorders>
              <w:top w:val="nil"/>
              <w:left w:val="nil"/>
              <w:bottom w:val="single" w:sz="12" w:space="0" w:color="auto"/>
              <w:right w:val="nil"/>
            </w:tcBorders>
            <w:noWrap w:val="0"/>
            <w:tcMar>
              <w:top w:w="-1" w:type="dxa"/>
              <w:left w:w="-1" w:type="dxa"/>
              <w:bottom w:w="-1" w:type="dxa"/>
              <w:right w:w="-1" w:type="dxa"/>
            </w:tcMar>
            <w:vAlign w:val="center"/>
          </w:tcPr>
          <w:p w14:paraId="6BDC3F5D">
            <w:pPr>
              <w:widowControl/>
              <w:jc w:val="center"/>
              <w:rPr>
                <w:rFonts w:ascii="Times New Roman" w:eastAsia="宋体" w:hAnsi="Times New Roman" w:cs="Times New Roman" w:hint="default"/>
                <w:color w:val="FF0000"/>
                <w:kern w:val="0"/>
                <w:sz w:val="15"/>
                <w:szCs w:val="15"/>
              </w:rPr>
            </w:pPr>
            <w:r>
              <w:rPr>
                <w:rFonts w:ascii="Times New Roman" w:eastAsia="宋体" w:hAnsi="Times New Roman" w:cs="Times New Roman" w:hint="default"/>
                <w:color w:val="FF0000"/>
                <w:kern w:val="0"/>
                <w:sz w:val="15"/>
                <w:szCs w:val="15"/>
              </w:rPr>
              <w:t>防火间距</w:t>
            </w:r>
          </w:p>
        </w:tc>
        <w:tc>
          <w:tcPr>
            <w:tcW w:w="2751" w:type="dxa"/>
            <w:tcBorders>
              <w:top w:val="nil"/>
              <w:left w:val="nil"/>
              <w:bottom w:val="single" w:sz="12" w:space="0" w:color="auto"/>
              <w:right w:val="nil"/>
            </w:tcBorders>
            <w:noWrap w:val="0"/>
            <w:tcMar>
              <w:top w:w="-1" w:type="dxa"/>
              <w:left w:w="-1" w:type="dxa"/>
              <w:bottom w:w="-1" w:type="dxa"/>
              <w:right w:w="-1" w:type="dxa"/>
            </w:tcMar>
            <w:vAlign w:val="center"/>
          </w:tcPr>
          <w:p w14:paraId="25324756">
            <w:pPr>
              <w:widowControl/>
              <w:jc w:val="center"/>
              <w:rPr>
                <w:rFonts w:ascii="Times New Roman" w:eastAsia="宋体" w:hAnsi="Times New Roman" w:cs="Times New Roman" w:hint="default"/>
                <w:color w:val="FF0000"/>
                <w:kern w:val="0"/>
                <w:sz w:val="15"/>
                <w:szCs w:val="15"/>
              </w:rPr>
            </w:pPr>
            <w:r>
              <w:rPr>
                <w:rFonts w:ascii="Times New Roman" w:eastAsia="宋体" w:hAnsi="Times New Roman" w:cs="Times New Roman" w:hint="default"/>
                <w:color w:val="FF0000"/>
                <w:kern w:val="0"/>
                <w:sz w:val="15"/>
                <w:szCs w:val="15"/>
              </w:rPr>
              <w:t>厂房与宿舍间距≥10m、与厂房间距≥10 m</w:t>
            </w:r>
          </w:p>
        </w:tc>
        <w:tc>
          <w:tcPr>
            <w:tcW w:w="2223" w:type="dxa"/>
            <w:tcBorders>
              <w:top w:val="nil"/>
              <w:left w:val="nil"/>
              <w:bottom w:val="single" w:sz="12" w:space="0" w:color="auto"/>
              <w:right w:val="nil"/>
            </w:tcBorders>
            <w:noWrap w:val="0"/>
            <w:tcMar>
              <w:top w:w="-1" w:type="dxa"/>
              <w:left w:w="-1" w:type="dxa"/>
              <w:bottom w:w="-1" w:type="dxa"/>
              <w:right w:w="-1" w:type="dxa"/>
            </w:tcMar>
            <w:vAlign w:val="center"/>
          </w:tcPr>
          <w:p w14:paraId="54EB562A">
            <w:pPr>
              <w:widowControl/>
              <w:jc w:val="center"/>
              <w:rPr>
                <w:rFonts w:ascii="Times New Roman" w:eastAsia="宋体" w:hAnsi="Times New Roman" w:cs="Times New Roman" w:hint="default"/>
                <w:color w:val="FF0000"/>
                <w:kern w:val="0"/>
                <w:sz w:val="15"/>
                <w:szCs w:val="15"/>
              </w:rPr>
            </w:pPr>
            <w:r>
              <w:rPr>
                <w:rFonts w:ascii="Times New Roman" w:eastAsia="宋体" w:hAnsi="Times New Roman" w:cs="Times New Roman" w:hint="default"/>
                <w:color w:val="FF0000"/>
                <w:kern w:val="0"/>
                <w:sz w:val="15"/>
                <w:szCs w:val="15"/>
              </w:rPr>
              <w:t>按火灾危险性类别以及耐火等级核定</w:t>
            </w:r>
          </w:p>
        </w:tc>
        <w:tc>
          <w:tcPr>
            <w:tcW w:w="2295" w:type="dxa"/>
            <w:tcBorders>
              <w:top w:val="nil"/>
              <w:left w:val="nil"/>
              <w:bottom w:val="single" w:sz="12" w:space="0" w:color="auto"/>
              <w:right w:val="nil"/>
            </w:tcBorders>
            <w:noWrap w:val="0"/>
            <w:tcMar>
              <w:top w:w="-1" w:type="dxa"/>
              <w:left w:w="-1" w:type="dxa"/>
              <w:bottom w:w="-1" w:type="dxa"/>
              <w:right w:w="-1" w:type="dxa"/>
            </w:tcMar>
            <w:vAlign w:val="center"/>
          </w:tcPr>
          <w:p w14:paraId="46F08F1D">
            <w:pPr>
              <w:widowControl/>
              <w:jc w:val="center"/>
              <w:rPr>
                <w:rFonts w:ascii="Times New Roman" w:eastAsia="宋体" w:hAnsi="Times New Roman" w:cs="Times New Roman" w:hint="default"/>
                <w:color w:val="FF0000"/>
                <w:kern w:val="0"/>
                <w:sz w:val="15"/>
                <w:szCs w:val="15"/>
              </w:rPr>
            </w:pPr>
            <w:r>
              <w:rPr>
                <w:rFonts w:ascii="Times New Roman" w:eastAsia="宋体" w:hAnsi="Times New Roman" w:cs="Times New Roman" w:hint="default"/>
                <w:color w:val="FF0000"/>
                <w:kern w:val="0"/>
                <w:sz w:val="15"/>
                <w:szCs w:val="15"/>
              </w:rPr>
              <w:t>建筑高度、使用性质以及消防扑救条件</w:t>
            </w:r>
          </w:p>
        </w:tc>
      </w:tr>
    </w:tbl>
    <w:p w14:paraId="0C525273">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048974A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Times New Roman" w:eastAsia="宋体" w:hAnsi="Times New Roman" w:cs="Times New Roman" w:hint="default"/>
          <w:b w:val="0"/>
          <w:bCs w:val="0"/>
          <w:color w:val="FF0000"/>
          <w:highlight w:val="none"/>
        </w:rPr>
      </w:pPr>
      <w:r>
        <w:rPr>
          <w:rFonts w:ascii="Times New Roman" w:eastAsia="宋体" w:hAnsi="Times New Roman" w:cs="Times New Roman" w:hint="default"/>
          <w:b w:val="0"/>
          <w:bCs w:val="0"/>
          <w:color w:val="FF0000"/>
          <w:highlight w:val="none"/>
          <w:lang w:val="en-US" w:eastAsia="zh-CN"/>
        </w:rPr>
        <w:t>组团之间设有公共广场，连接办公门厅、孵化展示区和宿舍生活服务区，可以容纳通勤高峰的人群聚集；树阵、坐凳和遮阴设施给研发人员非正式交流提供了一个停留的空间，广场边缘有连续的步行道和雨水落水口。布局还要考虑安全缓冲与弹性使用，孵化组团是过渡缓冲区，可以隔绝生产区噪音、视觉影响到生活区。组团内部步行系统使用无障碍缓坡设计，可以适应场地高低起伏的变化，夜间通勤的安全也可以得到保证。组团内部预留了少量的弹性空间，可以用来临时承担展会、技术推介、企业团建等科创活动，增加配套空间的复合利用率，符合科创产业园灵活多样的使用需求。</w:t>
      </w:r>
    </w:p>
    <w:p w14:paraId="4D49DD1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Times New Roman" w:eastAsia="宋体" w:hAnsi="Times New Roman" w:cs="Times New Roman" w:hint="default"/>
          <w:b w:val="0"/>
          <w:bCs w:val="0"/>
          <w:color w:val="FF0000"/>
          <w:highlight w:val="none"/>
        </w:rPr>
      </w:pPr>
      <w:r>
        <w:rPr>
          <w:rFonts w:ascii="Times New Roman" w:eastAsia="宋体" w:hAnsi="Times New Roman" w:cs="Times New Roman" w:hint="default"/>
          <w:b w:val="0"/>
          <w:bCs w:val="0"/>
          <w:color w:val="FF0000"/>
          <w:highlight w:val="none"/>
        </w:rPr>
        <w:t>2.3 配套建筑与城市界面的衔接策略</w:t>
      </w:r>
    </w:p>
    <w:p w14:paraId="113FA50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Times New Roman" w:eastAsia="宋体" w:hAnsi="Times New Roman" w:cs="Times New Roman" w:hint="default"/>
          <w:b w:val="0"/>
          <w:bCs w:val="0"/>
          <w:color w:val="FF0000"/>
          <w:highlight w:val="none"/>
        </w:rPr>
      </w:pPr>
      <w:r>
        <w:rPr>
          <w:rFonts w:ascii="Times New Roman" w:eastAsia="宋体" w:hAnsi="Times New Roman" w:cs="Times New Roman" w:hint="default"/>
          <w:b w:val="0"/>
          <w:bCs w:val="0"/>
          <w:color w:val="FF0000"/>
          <w:highlight w:val="none"/>
          <w:lang w:val="en-US" w:eastAsia="zh-CN"/>
        </w:rPr>
        <w:t>在城市市政道路附近设置办公、孵化展示、公共服务建筑，可以形成连续统一的科创园区界面。建筑退界及檐口尺度与西高东低的地势分段落位相适应，不造成大体量遮挡城市视线的景观，首层为街道成果展示与共享服务区，员工宿舍设于组团内侧，使空间具有开放性又不失私密性。弱化厚重封闭围墙形式，用绿化景墙、沿街绿化走廊代替硬质围墙，使园区与城市空间之间形成一个柔和的界面，塑造出一个有亲和力的、开放的科创园区。</w:t>
      </w:r>
    </w:p>
    <w:p w14:paraId="1640E21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Times New Roman" w:eastAsia="宋体" w:hAnsi="Times New Roman" w:cs="Times New Roman" w:hint="default"/>
          <w:b w:val="0"/>
          <w:bCs w:val="0"/>
          <w:color w:val="FF0000"/>
          <w:highlight w:val="none"/>
        </w:rPr>
      </w:pPr>
      <w:r>
        <w:rPr>
          <w:rFonts w:ascii="Times New Roman" w:eastAsia="宋体" w:hAnsi="Times New Roman" w:cs="Times New Roman" w:hint="default"/>
          <w:b w:val="0"/>
          <w:bCs w:val="0"/>
          <w:color w:val="FF0000"/>
          <w:highlight w:val="none"/>
          <w:lang w:val="en-US" w:eastAsia="zh-CN"/>
        </w:rPr>
        <w:t>入口广场连接城市市政道路、园区主入口和内部步行轴，铺装标高与城市人行道平顺衔接，把访客落客、门禁核验、无障碍通行纳入统一的秩序中；机动车停放区设在广场外围，内部保持连续步行面，减少高峰时段的车辆干扰，消防通道与广场边界相通。</w:t>
      </w:r>
    </w:p>
    <w:p w14:paraId="4A68FFD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Times New Roman" w:eastAsia="宋体" w:hAnsi="Times New Roman" w:cs="Times New Roman" w:hint="default"/>
          <w:b w:val="0"/>
          <w:bCs w:val="0"/>
          <w:color w:val="FF0000"/>
          <w:highlight w:val="none"/>
        </w:rPr>
      </w:pPr>
      <w:r>
        <w:rPr>
          <w:rFonts w:ascii="Times New Roman" w:eastAsia="宋体" w:hAnsi="Times New Roman" w:cs="Times New Roman" w:hint="default"/>
          <w:b w:val="0"/>
          <w:bCs w:val="0"/>
          <w:color w:val="FF0000"/>
          <w:highlight w:val="none"/>
          <w:lang w:val="en-US" w:eastAsia="zh-CN"/>
        </w:rPr>
        <w:t>沿街立面用模数化遮阳构件、金属板、玻璃统一基调，转角和主入口用较大的体量和夜间照明加强，标识系统与建筑分缝、步行导向相配合，使研发区、入口区、城市景观之间有明确的关系。</w:t>
      </w:r>
    </w:p>
    <w:p w14:paraId="1F7CF61A">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0474F28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Times New Roman" w:eastAsia="宋体" w:hAnsi="Times New Roman" w:cs="Times New Roman" w:hint="default"/>
          <w:b w:val="0"/>
          <w:bCs w:val="0"/>
          <w:color w:val="FF0000"/>
          <w:highlight w:val="none"/>
        </w:rPr>
      </w:pPr>
      <w:r>
        <w:rPr>
          <w:rFonts w:ascii="Times New Roman" w:eastAsia="宋体" w:hAnsi="Times New Roman" w:cs="Times New Roman" w:hint="default"/>
          <w:b w:val="0"/>
          <w:bCs w:val="0"/>
          <w:color w:val="FF0000"/>
          <w:highlight w:val="none"/>
          <w:lang w:val="en-US" w:eastAsia="zh-CN"/>
        </w:rPr>
        <w:t>配套区有420个车位，工作日高峰时段共占用车位386个，车位的使用率是92%左右。车位按员工长停、访客短停和接驳候停分别划分区域。办公楼、宿舍、食堂沿通勤主轴集中布置之后，员工通勤时间从原来的37分钟减少到现在的22分钟，单程少用15分钟；高峰期步行流量集中在6米宽的连廊上没有影响到货运路权。可以看出，目前的布局把交通分流、静态停车以及日常通勤一起放在同一个空间组织里，可以满足生产班次更替以及接待来访的需要。</w:t>
      </w:r>
    </w:p>
    <w:p w14:paraId="5AD69B6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Times New Roman" w:eastAsia="宋体" w:hAnsi="Times New Roman" w:cs="Times New Roman" w:hint="default"/>
          <w:b w:val="0"/>
          <w:bCs w:val="0"/>
          <w:color w:val="FF0000"/>
          <w:highlight w:val="none"/>
        </w:rPr>
      </w:pPr>
      <w:r>
        <w:rPr>
          <w:rFonts w:ascii="Times New Roman" w:eastAsia="宋体" w:hAnsi="Times New Roman" w:cs="Times New Roman" w:hint="default"/>
          <w:b w:val="0"/>
          <w:bCs w:val="0"/>
          <w:color w:val="FF0000"/>
          <w:highlight w:val="none"/>
        </w:rPr>
        <w:t>3.2 空间使用满意度评估</w:t>
      </w:r>
    </w:p>
    <w:p w14:paraId="641D4AA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Times New Roman" w:eastAsia="宋体" w:hAnsi="Times New Roman" w:cs="Times New Roman" w:hint="default"/>
          <w:b w:val="0"/>
          <w:bCs w:val="0"/>
          <w:color w:val="FF0000"/>
          <w:highlight w:val="none"/>
        </w:rPr>
      </w:pPr>
      <w:r>
        <w:rPr>
          <w:rFonts w:ascii="Times New Roman" w:eastAsia="宋体" w:hAnsi="Times New Roman" w:cs="Times New Roman" w:hint="default"/>
          <w:b w:val="0"/>
          <w:bCs w:val="0"/>
          <w:color w:val="FF0000"/>
          <w:highlight w:val="none"/>
          <w:lang w:val="en-US" w:eastAsia="zh-CN"/>
        </w:rPr>
        <w:t>由于某航空零组件智能化产业园人员构成比较复杂，本次问卷调查对象包含生产人员、研发人员、管理人员和访客，以工作日中午、换班时间前后以及晚上这三个时间段为观察时间段，在停留舒适度、功能衔接效率、设施可及性这三个方面统计满意度。空间使用满意度就是使用者对于配套的环境是否能够满足日常需要的评价。</w:t>
      </w:r>
    </w:p>
    <w:p w14:paraId="23F348F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Times New Roman" w:eastAsia="宋体" w:hAnsi="Times New Roman" w:cs="Times New Roman" w:hint="default"/>
          <w:b w:val="0"/>
          <w:bCs w:val="0"/>
          <w:color w:val="FF0000"/>
          <w:highlight w:val="none"/>
        </w:rPr>
      </w:pPr>
      <w:r>
        <w:rPr>
          <w:rFonts w:ascii="Times New Roman" w:eastAsia="宋体" w:hAnsi="Times New Roman" w:cs="Times New Roman" w:hint="default"/>
          <w:b w:val="0"/>
          <w:bCs w:val="0"/>
          <w:color w:val="FF0000"/>
          <w:highlight w:val="none"/>
        </w:rPr>
        <w:t>公共广场日均使用人数大于500人，中午和换班高峰时段有明显的高峰值，活动主要是短时间休息、非正式交谈、等车、小型聚会，说明广场可以承接办公组团和生产组团之间的人员流动</w:t>
      </w:r>
      <w:r>
        <w:rPr>
          <w:rFonts w:ascii="Times New Roman" w:eastAsia="宋体" w:hAnsi="Times New Roman" w:cs="Times New Roman" w:hint="default"/>
          <w:b w:val="0"/>
          <w:bCs w:val="0"/>
          <w:color w:val="FF0000"/>
          <w:highlight w:val="none"/>
          <w:vertAlign w:val="superscript"/>
        </w:rPr>
        <w:t>[5]</w:t>
      </w:r>
      <w:r>
        <w:rPr>
          <w:rFonts w:ascii="Times New Roman" w:eastAsia="宋体" w:hAnsi="Times New Roman" w:cs="Times New Roman" w:hint="default"/>
          <w:b w:val="0"/>
          <w:bCs w:val="0"/>
          <w:color w:val="FF0000"/>
          <w:highlight w:val="none"/>
        </w:rPr>
        <w:t>。餐饮、便利店、会议交流、休闲设施围绕公共节点复合布置，使各种功能间的步行距离变短，便利性满意度评分为90分。</w:t>
      </w:r>
    </w:p>
    <w:p w14:paraId="1B2F7CC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Times New Roman" w:eastAsia="宋体" w:hAnsi="Times New Roman" w:cs="Times New Roman" w:hint="default"/>
          <w:b w:val="0"/>
          <w:bCs w:val="0"/>
          <w:color w:val="FF0000"/>
          <w:highlight w:val="none"/>
        </w:rPr>
      </w:pPr>
      <w:r>
        <w:rPr>
          <w:rFonts w:ascii="Times New Roman" w:eastAsia="宋体" w:hAnsi="Times New Roman" w:cs="Times New Roman" w:hint="default"/>
          <w:b w:val="0"/>
          <w:bCs w:val="0"/>
          <w:color w:val="FF0000"/>
          <w:highlight w:val="none"/>
        </w:rPr>
        <w:t>行为观察显示，主通道旁的遮阴座位和连续步行界面形成了稳定的停留点，出入口附近边缘空间的活跃度很低。功能复合布局把分散的需求引入广场之后，也促使各个部门之间产生了偶遇的机会、工作间隙的交流，把配套建筑变成了园区的交往场所。之后应考虑将低频空间设置便民设施，增设移动座椅及夜间照明，调节空间活动时间。</w:t>
      </w:r>
    </w:p>
    <w:p w14:paraId="74A179D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Times New Roman" w:eastAsia="宋体" w:hAnsi="Times New Roman" w:cs="Times New Roman" w:hint="default"/>
          <w:b w:val="0"/>
          <w:bCs w:val="0"/>
          <w:color w:val="FF0000"/>
          <w:highlight w:val="none"/>
        </w:rPr>
      </w:pPr>
      <w:r>
        <w:rPr>
          <w:rFonts w:ascii="Times New Roman" w:eastAsia="宋体" w:hAnsi="Times New Roman" w:cs="Times New Roman" w:hint="default"/>
          <w:b w:val="0"/>
          <w:bCs w:val="0"/>
          <w:color w:val="FF0000"/>
          <w:highlight w:val="none"/>
          <w:lang w:val="en-US" w:eastAsia="zh-CN"/>
        </w:rPr>
        <w:t xml:space="preserve">4 </w:t>
      </w:r>
      <w:r>
        <w:rPr>
          <w:rFonts w:ascii="Times New Roman" w:eastAsia="宋体" w:hAnsi="Times New Roman" w:cs="Times New Roman" w:hint="default"/>
          <w:b w:val="0"/>
          <w:bCs w:val="0"/>
          <w:color w:val="FF0000"/>
          <w:highlight w:val="none"/>
        </w:rPr>
        <w:t>结语</w:t>
      </w:r>
    </w:p>
    <w:p w14:paraId="07B8D1F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Times New Roman" w:eastAsia="宋体" w:hAnsi="Times New Roman" w:cs="Times New Roman" w:hint="default"/>
          <w:b w:val="0"/>
          <w:bCs w:val="0"/>
          <w:color w:val="FF0000"/>
          <w:highlight w:val="none"/>
        </w:rPr>
      </w:pPr>
      <w:r>
        <w:rPr>
          <w:rFonts w:ascii="Times New Roman" w:eastAsia="宋体" w:hAnsi="Times New Roman" w:cs="Times New Roman" w:hint="default"/>
          <w:b w:val="0"/>
          <w:bCs w:val="0"/>
          <w:color w:val="FF0000"/>
          <w:highlight w:val="none"/>
          <w:lang w:val="en-US" w:eastAsia="zh-CN"/>
        </w:rPr>
        <w:t>本文就某航空零配件智能化产业园配套建筑布局的实际约束条件展开研究，建立包含规模、形体空间、使用空间以及产业人群差异的参数匹配空间参数系统，并提出“办公-孵化-宿舍”一体化布局和城市界面衔接的方法。经过评价可知，可以较好地减少货运干扰和流线交叉，提高停车效率，改善通勤的方便性，空间使用满意度高。研究成果为同类产业园配套建筑的布局提供量化的适配方法和可以执行的设计方案，可以对低频空间活力进行进一步提升，补充便民设施和夜间照明，提高各个时段空间利用率。</w:t>
      </w:r>
    </w:p>
    <w:p w14:paraId="08C23211">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FCA02B4"/>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7BA7C2"/>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B7FD42"/>
    <w:rsid w:val="5FFF4A3E"/>
    <w:rsid w:val="60FE0EE7"/>
    <w:rsid w:val="656F4530"/>
    <w:rsid w:val="66A86C9C"/>
    <w:rsid w:val="67DFB34B"/>
    <w:rsid w:val="6970383C"/>
    <w:rsid w:val="6AFF82AD"/>
    <w:rsid w:val="6B2AF8CD"/>
    <w:rsid w:val="6BFA42B4"/>
    <w:rsid w:val="6D70F8DF"/>
    <w:rsid w:val="6DDFBFA7"/>
    <w:rsid w:val="6DE1A9E9"/>
    <w:rsid w:val="6EDD75E1"/>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BFF9BD6"/>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 w:type="table" w:customStyle="1" w:styleId="Table">
    <w:name w:val="Table"/>
    <w:unhideWhenUsed/>
    <w:qFormat/>
    <w:pPr>
      <w:jc w:val="center"/>
    </w:pPr>
    <w:rPr>
      <w:rFonts w:ascii="Times New Roman" w:eastAsia="宋体" w:hAnsi="Times New Roman"/>
      <w:color w:val="000000"/>
      <w:sz w:val="24"/>
    </w:rPr>
    <w:tblPr>
      <w:jc w:val="center"/>
      <w:tblBorders>
        <w:top w:val="single" w:sz="12" w:space="0" w:color="auto"/>
        <w:bottom w:val="single" w:sz="12" w:space="0" w:color="auto"/>
      </w:tblBorders>
      <w:tblCellMar>
        <w:top w:w="0" w:type="dxa"/>
        <w:left w:w="108" w:type="dxa"/>
        <w:bottom w:w="0" w:type="dxa"/>
        <w:right w:w="108" w:type="dxa"/>
      </w:tblCellMar>
    </w:tblPr>
    <w:trPr>
      <w:jc w:val="center"/>
    </w:trPr>
    <w:tcPr>
      <w:vAlign w:val="center"/>
    </w:tcPr>
    <w:tblStylePr w:type="firstRow">
      <w:rPr>
        <w:rFonts w:eastAsia="宋体"/>
        <w:sz w:val="24"/>
      </w:rPr>
      <w:tblPr/>
      <w:tcPr>
        <w:tcBorders>
          <w:top w:val="single" w:sz="12" w:space="0" w:color="auto"/>
          <w:bottom w:val="single" w:sz="12"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2025-01-02T10:06:00Z</dcterms:created>
  <dcterms:modified xsi:type="dcterms:W3CDTF">2026-11-03T15:58:09Z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2052-12.1.29182.29182</vt:lpwstr>
  </property>
  <property fmtid="{D5CDD505-2E9C-101B-9397-08002B2CF9AE}" pid="4" name="KSOTemplateDocerSaveRecord">
    <vt:lpwstr>eyJoZGlkIjoiOGMzODE2MDc2M2VkNDRjOGZmMTM5MmZmNTMwNzVlYjQiLCJ1c2VySWQiOiIxMjU5NTQwMzM2In0=</vt:lpwstr>
  </property>
</Properties>
</file>