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FA54EAF">
      <w:pPr>
        <w:spacing w:before="240" w:after="120" w:line="360" w:lineRule="auto"/>
        <w:jc w:val="center"/>
        <w:rPr>
          <w:rFonts w:eastAsia="黑体" w:hint="default"/>
          <w:b/>
          <w:bCs/>
          <w:sz w:val="36"/>
          <w:szCs w:val="36"/>
          <w:lang w:val="en-US" w:eastAsia="zh-CN"/>
        </w:rPr>
      </w:pPr>
      <w:r>
        <w:rPr>
          <w:rFonts w:eastAsia="黑体" w:hint="eastAsia"/>
          <w:b/>
          <w:bCs/>
          <w:sz w:val="36"/>
          <w:szCs w:val="36"/>
          <w:lang w:val="en-US" w:eastAsia="zh-CN"/>
        </w:rPr>
        <w:t>降重10内  带知网和知网AI两份合格报告发过来</w:t>
      </w:r>
    </w:p>
    <w:p w14:paraId="689ED6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eastAsia="黑体" w:hint="eastAsia"/>
          <w:b/>
          <w:bCs/>
          <w:sz w:val="36"/>
          <w:szCs w:val="36"/>
          <w:lang w:val="en-US" w:eastAsia="zh-CN"/>
        </w:rPr>
        <w:t>原题目：</w:t>
      </w:r>
      <w:r>
        <w:rPr>
          <w:rFonts w:hint="eastAsia"/>
        </w:rPr>
        <w:t>智能审计技术赋能企业审计质量提升研究</w:t>
      </w:r>
    </w:p>
    <w:p w14:paraId="45D62037">
      <w:pPr>
        <w:spacing w:before="240" w:after="120" w:line="360" w:lineRule="auto"/>
        <w:jc w:val="center"/>
        <w:rPr>
          <w:rFonts w:eastAsia="黑体" w:hint="eastAsia"/>
          <w:b/>
          <w:bCs/>
          <w:sz w:val="36"/>
          <w:szCs w:val="36"/>
          <w:lang w:val="en-US" w:eastAsia="zh-CN"/>
        </w:rPr>
      </w:pPr>
      <w:bookmarkStart w:id="0" w:name="_GoBack"/>
      <w:bookmarkEnd w:id="0"/>
    </w:p>
    <w:p w14:paraId="67550F82">
      <w:pPr>
        <w:spacing w:before="240" w:after="120" w:line="360" w:lineRule="auto"/>
        <w:jc w:val="center"/>
        <w:rPr>
          <w:rFonts w:eastAsia="黑体"/>
          <w:b/>
          <w:bCs/>
          <w:sz w:val="36"/>
          <w:szCs w:val="36"/>
        </w:rPr>
      </w:pPr>
    </w:p>
    <w:p w14:paraId="1B77D6DC">
      <w:pPr>
        <w:spacing w:before="240" w:after="120" w:line="360" w:lineRule="auto"/>
        <w:jc w:val="center"/>
        <w:rPr>
          <w:rFonts w:eastAsia="黑体"/>
          <w:b/>
          <w:bCs/>
          <w:sz w:val="36"/>
          <w:szCs w:val="36"/>
        </w:rPr>
      </w:pPr>
      <w:r>
        <w:rPr>
          <w:rFonts w:eastAsia="黑体"/>
          <w:b/>
          <w:bCs/>
          <w:sz w:val="36"/>
          <w:szCs w:val="36"/>
        </w:rPr>
        <w:t>大模型时代智能审计赋能企业内部审计质量提升研究</w:t>
      </w:r>
    </w:p>
    <w:p w14:paraId="062D67C5">
      <w:pPr>
        <w:spacing w:before="240" w:after="120" w:line="360" w:lineRule="auto"/>
        <w:jc w:val="center"/>
        <w:rPr>
          <w:rFonts w:eastAsia="黑体" w:hint="eastAsia"/>
          <w:b/>
          <w:bCs/>
          <w:sz w:val="36"/>
          <w:szCs w:val="36"/>
        </w:rPr>
      </w:pPr>
    </w:p>
    <w:p w14:paraId="58A64A83">
      <w:pPr>
        <w:spacing w:line="360" w:lineRule="auto"/>
        <w:jc w:val="center"/>
        <w:rPr>
          <w:rFonts w:hint="eastAsia"/>
        </w:rPr>
      </w:pPr>
      <w:r>
        <w:rPr>
          <w:rFonts w:hint="eastAsia"/>
        </w:rPr>
        <w:t>唐湘衡</w:t>
      </w:r>
    </w:p>
    <w:p w14:paraId="6A1CD252">
      <w:pPr>
        <w:spacing w:line="360" w:lineRule="auto"/>
        <w:jc w:val="center"/>
        <w:rPr>
          <w:rFonts w:hint="eastAsia"/>
        </w:rPr>
      </w:pPr>
    </w:p>
    <w:p w14:paraId="6BFCA563">
      <w:pPr>
        <w:spacing w:line="360" w:lineRule="auto"/>
        <w:jc w:val="center"/>
      </w:pPr>
      <w:r>
        <w:rPr>
          <w:rFonts w:hint="eastAsia"/>
        </w:rPr>
        <w:t>立信会计师事务所（特殊普通合伙）重庆分所</w:t>
      </w:r>
      <w:r>
        <w:rPr>
          <w:rFonts w:hint="eastAsia"/>
          <w:lang w:val="en-US" w:eastAsia="zh-CN"/>
        </w:rPr>
        <w:t xml:space="preserve">    </w:t>
      </w:r>
      <w:r>
        <w:rPr>
          <w:rFonts w:hint="eastAsia"/>
        </w:rPr>
        <w:t>重庆市</w:t>
      </w:r>
      <w:r>
        <w:rPr>
          <w:rFonts w:hint="eastAsia"/>
          <w:lang w:val="en-US" w:eastAsia="zh-CN"/>
        </w:rPr>
        <w:t xml:space="preserve">   </w:t>
      </w:r>
      <w:r>
        <w:rPr>
          <w:rFonts w:hint="eastAsia"/>
        </w:rPr>
        <w:t>4</w:t>
      </w:r>
      <w:r>
        <w:t>00000</w:t>
      </w:r>
    </w:p>
    <w:p w14:paraId="04D3CF43">
      <w:pPr>
        <w:spacing w:line="360" w:lineRule="auto"/>
        <w:jc w:val="center"/>
      </w:pPr>
    </w:p>
    <w:p w14:paraId="5661B183">
      <w:pPr>
        <w:spacing w:line="360" w:lineRule="auto"/>
      </w:pPr>
      <w:r>
        <w:t>作者简介</w:t>
      </w:r>
      <w:r>
        <w:rPr>
          <w:rFonts w:hint="eastAsia"/>
        </w:rPr>
        <w:t>：唐湘衡，1</w:t>
      </w:r>
      <w:r>
        <w:t>976</w:t>
      </w:r>
      <w:r>
        <w:rPr>
          <w:rFonts w:hint="eastAsia"/>
        </w:rPr>
        <w:t>年，男，汉族，湖南衡阳，本科，中级会计师，</w:t>
      </w:r>
      <w:r>
        <w:t>研究方向</w:t>
      </w:r>
      <w:r>
        <w:rPr>
          <w:rFonts w:hint="eastAsia"/>
        </w:rPr>
        <w:t>：智能审计与内部审计质量、大模型审计应用与风险治理、审计数字化与风险防控</w:t>
      </w:r>
    </w:p>
    <w:p w14:paraId="63A8AA9E">
      <w:pPr>
        <w:spacing w:before="240" w:after="120" w:line="360" w:lineRule="auto"/>
        <w:jc w:val="center"/>
      </w:pPr>
    </w:p>
    <w:p w14:paraId="5F7A820C">
      <w:pPr>
        <w:snapToGrid w:val="0"/>
        <w:spacing w:after="180" w:line="360" w:lineRule="auto"/>
        <w:ind w:firstLine="480"/>
        <w:jc w:val="both"/>
      </w:pPr>
      <w:r>
        <w:t>以大模型为代表的新一代人工智能正在重新定义企业的内部审计作业方式。本文从企业内部审计的角度出发，对智能审计在全量测试、风险预警前置、流程自动化、整改闭环四个方面给企业内部审计质量带来的赋能作用进行分析；除了数据基础薄弱、技术融合不足、复合型人才短缺这些共性难题之外，也找到了大模型幻觉、算法黑箱、数据安全、职业怀疑消失、责任界定不明这五种新的质量风险，最后从制度、技术、流程、人才四个方面提出风险治理体系。智能审计能否提高内审质量，不是看替代了多少人，而是看人机边界是否被清晰划定，人工复核的责任是否得到落实，技术效率服从审计质量。</w:t>
      </w:r>
    </w:p>
    <w:p w14:paraId="0659B1FE">
      <w:pPr>
        <w:pStyle w:val="Heading1"/>
        <w:snapToGrid w:val="0"/>
        <w:spacing w:line="360" w:lineRule="auto"/>
      </w:pPr>
      <w:r>
        <w:t>一、问题的提出</w:t>
      </w:r>
    </w:p>
    <w:p w14:paraId="3A0E0D74">
      <w:pPr>
        <w:snapToGrid w:val="0"/>
        <w:spacing w:line="360" w:lineRule="auto"/>
        <w:ind w:firstLine="480"/>
        <w:jc w:val="both"/>
      </w:pPr>
      <w:r>
        <w:t>内部审计属于企业风险控制和内部控制的第一道防线，内部审计质量的好坏直接影响到企业内部控制的有效性及经营决策的可靠度。近几年来国家加快了“科技强审”的步伐，相关技术开始落地，2025年以后通用大模型迅速发展起来，审计智能体由概念走向实践，给内审由抽样到全量、由事后到持续的转型赋予了技术上的可能。</w:t>
      </w:r>
    </w:p>
    <w:p w14:paraId="4826ED1D">
      <w:pPr>
        <w:spacing w:line="360" w:lineRule="auto"/>
        <w:ind w:firstLine="480"/>
        <w:jc w:val="both"/>
      </w:pPr>
      <w:r>
        <w:t>政策上审计署内部审计工作规定中提出，内部审计部门必须利用现代信息技术实施审计并提高审计质量与效率，中央审计委员会要求建立集中统一、全面覆盖、权威高效的审计监督体系，财政部发布《关于加快推进会计数智化工作指导意见（征求意见稿）》（财办会〔2026〕32号）提出运用人工智能促进发展的同时也要建立数据安全、算法及模型安全全方位的安全保障体系。</w:t>
      </w:r>
    </w:p>
    <w:p w14:paraId="18634070">
      <w:pPr>
        <w:snapToGrid w:val="0"/>
        <w:spacing w:line="360" w:lineRule="auto"/>
        <w:ind w:firstLine="480"/>
        <w:jc w:val="both"/>
      </w:pPr>
      <w:r>
        <w:t>实务上国家电网、中国石化、中国建筑等大型企业集团全部业务都建有智能审计系统。但是实践当中存在“重投入、轻管控”“重效率、轻质量”问题，将涉密经营数据直接输入公共大模型，把智能输出作为审计结论，过分相信算法造成职业怀疑下降。已有研究大多从技术功能和落地路径两方面入手，对于内审所面对的新型质量风险的关注较少。本文主要从正向赋能和反向风险两方面展开论述，并给出治理路径。</w:t>
      </w:r>
    </w:p>
    <w:p w14:paraId="32ABC66E">
      <w:pPr>
        <w:pStyle w:val="Heading1"/>
        <w:snapToGrid w:val="0"/>
        <w:spacing w:line="360" w:lineRule="auto"/>
      </w:pPr>
      <w:r>
        <w:t>二、智能审计对企业内部审计质量的赋能机制</w:t>
      </w:r>
    </w:p>
    <w:p w14:paraId="02E83737">
      <w:pPr>
        <w:snapToGrid w:val="0"/>
        <w:spacing w:line="360" w:lineRule="auto"/>
        <w:ind w:firstLine="480"/>
        <w:jc w:val="both"/>
      </w:pPr>
      <w:r>
        <w:t>审计质量的关键就是审计证据是否充分、合理，审计人员的判断是否客观、准确。智能审计改变证据收集手段、扩大证据范围、改善资源配置等手段可以提高内审质量的四个途径。</w:t>
      </w:r>
    </w:p>
    <w:p w14:paraId="219AF6E0">
      <w:pPr>
        <w:spacing w:line="360" w:lineRule="auto"/>
        <w:ind w:firstLine="480"/>
        <w:jc w:val="both"/>
      </w:pPr>
      <w:r>
        <w:t>（一）</w:t>
      </w:r>
      <w:r>
        <w:t>全量测试代替抽样。传统的内审由于人力所限只能抽样，样本外错报风险一直存在。智能审计可以对所有的交易一笔笔进行审核，银行流水与账簿进行自动核对、发票和采购合同一一对应、关联方交易全部筛查，扩大了覆盖面从“样本”到“总体”。</w:t>
      </w:r>
    </w:p>
    <w:p w14:paraId="50FDA433">
      <w:pPr>
        <w:spacing w:line="360" w:lineRule="auto"/>
        <w:ind w:firstLine="480"/>
        <w:jc w:val="both"/>
      </w:pPr>
      <w:r>
        <w:t>（二）</w:t>
      </w:r>
      <w:r>
        <w:t>风险识别前置。依靠持续收集的业务数据以及运行的预警模型，审计由原来的“事后纠错”转变为现在的“事前预警”，可以对出现的连续发票入账现象加以拦截，也可以对同一张发票重复报销的情况进行拦截。</w:t>
      </w:r>
    </w:p>
    <w:p w14:paraId="2D912B8B">
      <w:pPr>
        <w:spacing w:line="360" w:lineRule="auto"/>
        <w:ind w:firstLine="480"/>
        <w:jc w:val="both"/>
      </w:pPr>
      <w:r>
        <w:t>（三）</w:t>
      </w:r>
      <w:r>
        <w:t>流程自动化。使用流程自动化、光学字符识别以及自然语言生成等手段实现对票据的识别、数据提取、凭证核对以及底稿初稿的自动生成，使审计人员从繁琐的工作中解脱出来，有更多的时间去从事高风险、高难度的工作。</w:t>
      </w:r>
    </w:p>
    <w:p w14:paraId="3540465E">
      <w:pPr>
        <w:snapToGrid w:val="0"/>
        <w:spacing w:line="360" w:lineRule="auto"/>
        <w:ind w:firstLine="480"/>
        <w:jc w:val="both"/>
      </w:pPr>
      <w:r>
        <w:t>（四）</w:t>
      </w:r>
      <w:r>
        <w:t>整改闭环管理。对审计问题进行线上销号、实时跟进、自动存档，形成一个“发现问题—整改—复查—销号”的闭环管理，并采用历史问题聚类分析的方法来改善内部控制，防止出现“纸上谈兵”“屡犯不改”的问题。</w:t>
      </w:r>
    </w:p>
    <w:p w14:paraId="7DD859F0">
      <w:pPr>
        <w:pStyle w:val="Heading1"/>
        <w:snapToGrid w:val="0"/>
        <w:spacing w:line="360" w:lineRule="auto"/>
      </w:pPr>
      <w:r>
        <w:t>三、企业内部审计应用智能审计的现实挑战与新型风险</w:t>
      </w:r>
    </w:p>
    <w:p w14:paraId="6FFF4B90">
      <w:pPr>
        <w:snapToGrid w:val="0"/>
        <w:spacing w:line="360" w:lineRule="auto"/>
        <w:ind w:firstLine="480"/>
        <w:jc w:val="both"/>
      </w:pPr>
      <w:r>
        <w:t>智能审计并不是万能的钥匙，在信息化阶段有共性的风险，在大模型时代还存在着新的风险，如果控制不力反而会破坏审计质量。</w:t>
      </w:r>
    </w:p>
    <w:p w14:paraId="3002CB6D">
      <w:pPr>
        <w:spacing w:line="360" w:lineRule="auto"/>
        <w:ind w:firstLine="480"/>
        <w:jc w:val="both"/>
      </w:pPr>
      <w:r>
        <w:t>（一）</w:t>
      </w:r>
      <w:r>
        <w:t>四类共性问题。数据基础薄弱，业务和财务系统各自独立设计，没有统一的标准，合同单据等非结构化数据没有被转化为数据，造成“数据孤岛”现象，造成模型的输出不可靠。二是技术融合不足，将智能工具应用到已有的流程中，没有根据风险的特征重新构建审计逻辑，模型规则固定、误报率高。三是复合型人才严重缺乏，审计人员缺少数据建模能力，技术人员不会审计逻辑。四者分工不明，机器得出的疑点没有经过核实就直接写进结论里，责任界限不清。</w:t>
      </w:r>
    </w:p>
    <w:p w14:paraId="7642CEAA">
      <w:pPr>
        <w:snapToGrid w:val="0"/>
        <w:spacing w:line="360" w:lineRule="auto"/>
        <w:ind w:firstLine="480"/>
        <w:jc w:val="both"/>
      </w:pPr>
      <w:r>
        <w:t>（二）</w:t>
      </w:r>
      <w:r>
        <w:t>五类新型质量风险。幻觉风险是大模型虚构不存在的准则条款、误算财务比率，未经核验就采纳，会造成审计结论有误。第二，算法黑箱风险，推理过程不可知，不能追踪结论的原因，不能满足工作底稿“可追溯、可复核”的基本要求。第三，数据安全风险，把带有商业秘密、核心经营数据的文件放到公共平台上，数据留痕甚至被用作训练数据，泄露风险无法控制，违反保密义务也会面临法律责任。第四，职业怀疑的消解风险就是输出流畅、权威的算法结果，会让人觉得“算法值得信赖”，从而放松对算法结果的核查，“算法厌恶”则是完全放弃、浪费机会，两种情况都会对审计质量造成损害。第五，责任界定不清的风险，深度介入容易产生“人人负责、无人负责”的局面，必须确定智能工具只是辅助，审计人员依然是审计结论的责任人。</w:t>
      </w:r>
    </w:p>
    <w:p w14:paraId="7BFF4731">
      <w:pPr>
        <w:pStyle w:val="Heading1"/>
        <w:snapToGrid w:val="0"/>
        <w:spacing w:line="360" w:lineRule="auto"/>
      </w:pPr>
      <w:r>
        <w:t>四、企业内部审计应用智能审计的落地路径</w:t>
      </w:r>
    </w:p>
    <w:p w14:paraId="0B5B1153">
      <w:pPr>
        <w:snapToGrid w:val="0"/>
        <w:spacing w:line="360" w:lineRule="auto"/>
        <w:ind w:firstLine="480"/>
        <w:jc w:val="both"/>
      </w:pPr>
      <w:r>
        <w:t>（一）</w:t>
      </w:r>
      <w:r>
        <w:t>夯实数据基础，建立数据治理制度。把审计数据治理作为智能审计创建的第一个人，统一财务及业务系统数据接口及字段的定义，并建立审计数据仓库或者数据平台，利用自动抽取、清洗、转换将分散的数据集中起来，给模型供应可靠的数据“原材料”。</w:t>
      </w:r>
    </w:p>
    <w:p w14:paraId="3FB44DA2">
      <w:pPr>
        <w:spacing w:line="360" w:lineRule="auto"/>
        <w:ind w:firstLine="480"/>
        <w:jc w:val="both"/>
      </w:pPr>
      <w:r>
        <w:t>（二）</w:t>
      </w:r>
      <w:r>
        <w:t>提高智能审计的全流程智能审计系统。从审计业务逻辑的角度出发，把智能技术全面融入到审计计划、审计现场执行以及报告整改的各个环节，防止出现技术性地使用智能技术的现象。用聚类、关联分析找到异常交易以及高风险区域，把“经验选样”转变成“数据驱动选样”，执行和报告阶段使用模型、自然语言生成辅助核查、起草。</w:t>
      </w:r>
    </w:p>
    <w:p w14:paraId="03130756">
      <w:pPr>
        <w:spacing w:line="360" w:lineRule="auto"/>
        <w:ind w:firstLine="480"/>
        <w:jc w:val="both"/>
      </w:pPr>
      <w:r>
        <w:t>（三）</w:t>
      </w:r>
      <w:r>
        <w:t>理顺人机分工、构建协同作业体系。确定机器对全部数据进行筛查、重复工作以及初步预警，审计人员对模型规则进行审核、判定疑点、判定问题、判定结论。创建“机器初筛、人工复核、结论确认”闭环，机器给出的只是线索与初稿，只有经过审计人员的复核之后才能作为依据被采纳。</w:t>
      </w:r>
    </w:p>
    <w:p w14:paraId="0C0D2CA9">
      <w:pPr>
        <w:spacing w:line="360" w:lineRule="auto"/>
        <w:ind w:firstLine="480"/>
        <w:jc w:val="both"/>
      </w:pPr>
      <w:r>
        <w:t>（四）</w:t>
      </w:r>
      <w:r>
        <w:t>内培外引、造就复合型人才队伍。对现有的审计人员进行分层培训，对数据查询、数据可视化的审计人员进行培训，并在项目中以干代训的方式进行培训，招聘懂审计又懂数据分析的复合型人才，创建审计数据分析案例库，积累经验，提高整体水平。</w:t>
      </w:r>
    </w:p>
    <w:p w14:paraId="70770EA2">
      <w:pPr>
        <w:snapToGrid w:val="0"/>
        <w:spacing w:line="360" w:lineRule="auto"/>
        <w:ind w:firstLine="480"/>
        <w:jc w:val="both"/>
      </w:pPr>
      <w:r>
        <w:t>从实践上讲，国家电网“国网智审”平台把财务、营销、工程、物资等全部业务都纳入管理范围，并且使异常交易识别及资金风险预警工作处于常态化状态，中国石化、中国建筑等企业也在智能审计平台搭建方面取得了良好的效果，在重大风险的预防与整改跟踪上也有显著成效，给大型企业集团智能审计平台建设提供可借鉴的样本。</w:t>
      </w:r>
    </w:p>
    <w:p w14:paraId="22795960">
      <w:pPr>
        <w:pStyle w:val="Heading1"/>
        <w:snapToGrid w:val="0"/>
        <w:spacing w:line="360" w:lineRule="auto"/>
      </w:pPr>
      <w:r>
        <w:t>五、企业内部审计智能审计风险治理体系构建</w:t>
      </w:r>
    </w:p>
    <w:p w14:paraId="24667E3C">
      <w:pPr>
        <w:snapToGrid w:val="0"/>
        <w:spacing w:line="360" w:lineRule="auto"/>
        <w:ind w:firstLine="480"/>
        <w:jc w:val="both"/>
      </w:pPr>
      <w:r>
        <w:t>智能审计的持续发展不能缺少系统的风险控制。企业应该从制度、技术、流程、人才四个方面一起努力，创建起一个“边界清楚、控制到位、责任分明”的治理体系。</w:t>
      </w:r>
    </w:p>
    <w:p w14:paraId="0B058CC8">
      <w:pPr>
        <w:spacing w:line="360" w:lineRule="auto"/>
        <w:ind w:firstLine="480"/>
        <w:jc w:val="both"/>
      </w:pPr>
      <w:r>
        <w:t>（一）制度规范层：</w:t>
      </w:r>
      <w:r>
        <w:t>确定应用范围、确定责任。制定涵盖全机构的智能审计使用管理规定，建立“可用、慎用、禁用”的智能审计使用场景清单，即数据清洗、凭证核对、非涉密法规检索等标准化工作可以由智能系统来执行，但是异常交易的初步筛选、预期值的测算等结果只能作为线索，不能作为结论，必须经过人工复核。另外还要确定审计人员、项目负责人和机构负责人所要承担的责任，防止责任的分散。</w:t>
      </w:r>
    </w:p>
    <w:p w14:paraId="6EF684FC">
      <w:pPr>
        <w:spacing w:line="360" w:lineRule="auto"/>
        <w:ind w:firstLine="480"/>
        <w:jc w:val="both"/>
      </w:pPr>
      <w:r>
        <w:t>（二）技术管控层：</w:t>
      </w:r>
      <w:r>
        <w:t>筑牢数据、算法的安全防线。优先使用本地化或者私有化部署，绝不允许将含有机密经营信息的数据发布到公共的人工智能平台上；建立数据分级分类制度，核心数据不允许出域使用；对模型实施准入制度，模型上线之前必须经过准确性和稳定性检验；设置输出自动校验系统，用确定性的规则把格式、逻辑和数值上的错误拦截住。</w:t>
      </w:r>
    </w:p>
    <w:p w14:paraId="02589776">
      <w:pPr>
        <w:spacing w:line="360" w:lineRule="auto"/>
        <w:ind w:firstLine="480"/>
        <w:jc w:val="both"/>
      </w:pPr>
      <w:r>
        <w:t>（三）流程闭环层：</w:t>
      </w:r>
      <w:r>
        <w:t>加强人工复核和底稿留痕。建立“智能产出-项目组审核-机构质控审核”两级复核制度，智能产出只能用作“可供复核的初稿”，所有结论都要有审计人员独立判断、签字；关键结论须经双源印证，有差异者追加程序及记录处理，底稿留痕必须到位，底稿的使用、输入输出和复核情况都应有记载。</w:t>
      </w:r>
    </w:p>
    <w:p w14:paraId="1BB72A2A">
      <w:pPr>
        <w:snapToGrid w:val="0"/>
        <w:spacing w:line="360" w:lineRule="auto"/>
        <w:ind w:firstLine="480"/>
        <w:jc w:val="both"/>
      </w:pPr>
      <w:r>
        <w:t>（四）人才培养层：</w:t>
      </w:r>
      <w:r>
        <w:t>提高人机协同的能力。开展分层分类的培训工作，普及智能工具的使用、数据安全的要求以及风险识别的知识，培养“敢于挑战人工智能”的批判性思维，不能过度依赖；创建智能工具使用能力认定体系，把独立核验智能输出的能力当作审计人员具备的基本技能要求。</w:t>
      </w:r>
    </w:p>
    <w:p w14:paraId="5CD94BC0">
      <w:pPr>
        <w:pStyle w:val="Heading1"/>
        <w:snapToGrid w:val="0"/>
        <w:spacing w:line="360" w:lineRule="auto"/>
      </w:pPr>
      <w:r>
        <w:t>六、结论与展望</w:t>
      </w:r>
    </w:p>
    <w:p w14:paraId="173BE1F7">
      <w:pPr>
        <w:snapToGrid w:val="0"/>
        <w:spacing w:line="360" w:lineRule="auto"/>
        <w:ind w:firstLine="480"/>
        <w:jc w:val="both"/>
      </w:pPr>
      <w:r>
        <w:t>智能审计是内部审计作业模式以及质量控制手段的一次革新，也给大模型时代质量提升赋予了机会，全量测试扩大了证据的覆盖面，风险前置提前发出预警信号，流程自动化把专业人员的精力从重复性工作中解放出来，闭环管理提高了整改的效果。但是技术本身就是一把双刃剑，幻觉、黑箱、数据泄露、职业怀疑下降、责任不清等新风险如果控制不好，会破坏审计的质量。</w:t>
      </w:r>
    </w:p>
    <w:p w14:paraId="6F5872B5">
      <w:pPr>
        <w:spacing w:line="360" w:lineRule="auto"/>
        <w:ind w:firstLine="480"/>
        <w:jc w:val="both"/>
      </w:pPr>
      <w:r>
        <w:t>智能审计健康发展要遵循三条原则，即不能使审计责任发生转移，无论技术怎样进步，审计人员都是审计结论的责任人，专业判断和职业怀疑不能被机器所替代，二是不能人机混同，机器做筛查，人工做判断，人工复核是不能省略的；三是技术服从质量，技术是提高质量的工具，不能为了提高效率而降低质量，所有的应用都应该在健全的风险治理框架之下开展。</w:t>
      </w:r>
    </w:p>
    <w:p w14:paraId="2F356983">
      <w:pPr>
        <w:spacing w:line="360" w:lineRule="auto"/>
        <w:ind w:firstLine="480"/>
        <w:jc w:val="both"/>
      </w:pPr>
      <w:r>
        <w:t>随着会计数智化有关制度的实施以及内部审计数字化转型的不断推进，智能审计也将会成为内部审计的一种常规工作。企业必须同步开展数据治理、技术融合、分工合作、人才建设、风险控制工作，把技术的优势真正发挥出来发现、揭示问题的能力。</w:t>
      </w:r>
    </w:p>
    <w:sectPr>
      <w:footerReference w:type="default" r:id="rId4"/>
      <w:pgSz w:w="11906" w:h="16838"/>
      <w:pgMar w:top="1440" w:right="1440" w:bottom="1440" w:left="1440" w:header="708" w:footer="708" w:gutter="0"/>
      <w:cols w:num="1" w:space="72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E5EE495">
    <w:pPr>
      <w:jc w:val="center"/>
    </w:pPr>
    <w:r>
      <w:rPr>
        <w:sz w:val="20"/>
        <w:szCs w:val="20"/>
      </w:rPr>
      <w:fldChar w:fldCharType="begin"/>
    </w:r>
    <w:r>
      <w:rPr>
        <w:sz w:val="20"/>
        <w:szCs w:val="20"/>
      </w:rPr>
      <w:instrText>PAGE</w:instrText>
    </w:r>
    <w:r>
      <w:rPr>
        <w:sz w:val="20"/>
        <w:szCs w:val="20"/>
      </w:rPr>
      <w:fldChar w:fldCharType="separate"/>
    </w:r>
    <w:r>
      <w:rPr>
        <w:sz w:val="20"/>
        <w:szCs w:val="20"/>
      </w:rPr>
      <w:t>1</w:t>
    </w:r>
    <w:r>
      <w:rPr>
        <w:sz w:val="20"/>
        <w:szCs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4CA"/>
    <w:rsid w:val="00196AA3"/>
    <w:rsid w:val="002A1DFE"/>
    <w:rsid w:val="00303061"/>
    <w:rsid w:val="00464AA1"/>
    <w:rsid w:val="0055728E"/>
    <w:rsid w:val="0073389A"/>
    <w:rsid w:val="00AE1B27"/>
    <w:rsid w:val="00D434CA"/>
    <w:rsid w:val="00ED7C01"/>
    <w:rsid w:val="00FB2479"/>
    <w:rsid w:val="15361A26"/>
    <w:rsid w:val="154A2BFC"/>
    <w:rsid w:val="48D570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qFormat="1"/>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qFormat="1"/>
    <w:lsdException w:name="annotation reference"/>
    <w:lsdException w:name="line number"/>
    <w:lsdException w:name="page number"/>
    <w:lsdException w:name="endnote reference" w:qFormat="1"/>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eastAsia="宋体" w:hAnsi="Times New Roman" w:cs="Times New Roman"/>
      <w:sz w:val="24"/>
      <w:szCs w:val="24"/>
      <w:lang w:val="en-US" w:eastAsia="zh-CN" w:bidi="ar-SA"/>
    </w:rPr>
  </w:style>
  <w:style w:type="paragraph" w:styleId="Heading1">
    <w:name w:val="heading 1"/>
    <w:basedOn w:val="Normal"/>
    <w:next w:val="Normal"/>
    <w:uiPriority w:val="9"/>
    <w:qFormat/>
    <w:pPr>
      <w:spacing w:before="240" w:after="120"/>
      <w:outlineLvl w:val="0"/>
    </w:pPr>
    <w:rPr>
      <w:rFonts w:eastAsia="黑体"/>
      <w:b/>
      <w:bCs/>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EndnoteText">
    <w:name w:val="endnote text"/>
    <w:basedOn w:val="Normal"/>
    <w:link w:val="a0"/>
    <w:uiPriority w:val="99"/>
    <w:semiHidden/>
    <w:unhideWhenUsed/>
    <w:rPr>
      <w:sz w:val="20"/>
      <w:szCs w:val="20"/>
    </w:rPr>
  </w:style>
  <w:style w:type="paragraph" w:styleId="Footer">
    <w:name w:val="footer"/>
    <w:basedOn w:val="Normal"/>
    <w:link w:val="a2"/>
    <w:uiPriority w:val="99"/>
    <w:unhideWhenUsed/>
    <w:qFormat/>
    <w:pPr>
      <w:tabs>
        <w:tab w:val="center" w:pos="4153"/>
        <w:tab w:val="right" w:pos="8306"/>
      </w:tabs>
      <w:snapToGrid w:val="0"/>
    </w:pPr>
    <w:rPr>
      <w:sz w:val="18"/>
      <w:szCs w:val="18"/>
    </w:rPr>
  </w:style>
  <w:style w:type="paragraph" w:styleId="Header">
    <w:name w:val="header"/>
    <w:basedOn w:val="Normal"/>
    <w:link w:val="a1"/>
    <w:uiPriority w:val="99"/>
    <w:unhideWhenUsed/>
    <w:qFormat/>
    <w:pPr>
      <w:tabs>
        <w:tab w:val="center" w:pos="4153"/>
        <w:tab w:val="right" w:pos="8306"/>
      </w:tabs>
      <w:snapToGrid w:val="0"/>
      <w:jc w:val="center"/>
    </w:pPr>
    <w:rPr>
      <w:sz w:val="18"/>
      <w:szCs w:val="18"/>
    </w:rPr>
  </w:style>
  <w:style w:type="paragraph" w:styleId="FootnoteText">
    <w:name w:val="footnote text"/>
    <w:basedOn w:val="Normal"/>
    <w:link w:val="a"/>
    <w:uiPriority w:val="99"/>
    <w:semiHidden/>
    <w:unhideWhenUsed/>
    <w:qFormat/>
    <w:rPr>
      <w:sz w:val="20"/>
      <w:szCs w:val="20"/>
    </w:rPr>
  </w:style>
  <w:style w:type="paragraph" w:styleId="Title">
    <w:name w:val="Title"/>
    <w:basedOn w:val="Normal"/>
    <w:next w:val="Normal"/>
    <w:uiPriority w:val="10"/>
    <w:qFormat/>
    <w:rPr>
      <w:sz w:val="56"/>
      <w:szCs w:val="56"/>
    </w:rPr>
  </w:style>
  <w:style w:type="character" w:styleId="EndnoteReference">
    <w:name w:val="endnote reference"/>
    <w:uiPriority w:val="99"/>
    <w:semiHidden/>
    <w:unhideWhenUsed/>
    <w:qFormat/>
    <w:rPr>
      <w:vertAlign w:val="superscript"/>
    </w:rPr>
  </w:style>
  <w:style w:type="character" w:styleId="Hyperlink">
    <w:name w:val="Hyperlink"/>
    <w:uiPriority w:val="99"/>
    <w:unhideWhenUsed/>
    <w:qFormat/>
    <w:rPr>
      <w:color w:val="0563C1"/>
      <w:u w:val="single"/>
    </w:rPr>
  </w:style>
  <w:style w:type="character" w:styleId="FootnoteReference">
    <w:name w:val="footnote reference"/>
    <w:uiPriority w:val="99"/>
    <w:semiHidden/>
    <w:unhideWhenUsed/>
    <w:qFormat/>
    <w:rPr>
      <w:vertAlign w:val="superscript"/>
    </w:rPr>
  </w:style>
  <w:style w:type="paragraph" w:customStyle="1" w:styleId="1">
    <w:name w:val="要点1"/>
    <w:basedOn w:val="Normal"/>
    <w:next w:val="Normal"/>
    <w:qFormat/>
    <w:rPr>
      <w:b/>
      <w:bCs/>
    </w:rPr>
  </w:style>
  <w:style w:type="paragraph" w:styleId="ListParagraph">
    <w:name w:val="List Paragraph"/>
    <w:basedOn w:val="Normal"/>
    <w:qFormat/>
  </w:style>
  <w:style w:type="character" w:customStyle="1" w:styleId="a">
    <w:name w:val="脚注文本 字符"/>
    <w:link w:val="FootnoteText"/>
    <w:uiPriority w:val="99"/>
    <w:semiHidden/>
    <w:unhideWhenUsed/>
    <w:qFormat/>
    <w:rPr>
      <w:sz w:val="20"/>
      <w:szCs w:val="20"/>
    </w:rPr>
  </w:style>
  <w:style w:type="character" w:customStyle="1" w:styleId="a0">
    <w:name w:val="尾注文本 字符"/>
    <w:link w:val="EndnoteText"/>
    <w:uiPriority w:val="99"/>
    <w:semiHidden/>
    <w:unhideWhenUsed/>
    <w:qFormat/>
    <w:rPr>
      <w:sz w:val="20"/>
      <w:szCs w:val="20"/>
    </w:rPr>
  </w:style>
  <w:style w:type="character" w:customStyle="1" w:styleId="a1">
    <w:name w:val="页眉 字符"/>
    <w:basedOn w:val="DefaultParagraphFont"/>
    <w:link w:val="Header"/>
    <w:uiPriority w:val="99"/>
    <w:qFormat/>
    <w:rPr>
      <w:sz w:val="18"/>
      <w:szCs w:val="18"/>
    </w:rPr>
  </w:style>
  <w:style w:type="character" w:customStyle="1" w:styleId="a2">
    <w:name w:val="页脚 字符"/>
    <w:basedOn w:val="DefaultParagraphFont"/>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5</Pages>
  <Words>3590</Words>
  <Characters>3607</Characters>
  <Application>Microsoft Office Word</Application>
  <DocSecurity>0</DocSecurity>
  <Lines>26</Lines>
  <Paragraphs>7</Paragraphs>
  <ScaleCrop>false</ScaleCrop>
  <Company/>
  <LinksUpToDate>false</LinksUpToDate>
  <CharactersWithSpaces>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A全科写作 李老师</cp:lastModifiedBy>
  <cp:revision>5</cp:revision>
  <dcterms:created xsi:type="dcterms:W3CDTF">2026-10-28T02:59:00Z</dcterms:created>
  <dcterms:modified xsi:type="dcterms:W3CDTF">2026-11-02T06:28:53Z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DF588A0C3E1746AB89457EE9DB3EBD97_13</vt:lpwstr>
  </property>
  <property fmtid="{D5CDD505-2E9C-101B-9397-08002B2CF9AE}" pid="3" name="KSOProductBuildVer">
    <vt:lpwstr>2052-12.1.0.29161</vt:lpwstr>
  </property>
  <property fmtid="{D5CDD505-2E9C-101B-9397-08002B2CF9AE}" pid="4" name="KSOTemplateDocerSaveRecord">
    <vt:lpwstr>eyJoZGlkIjoiMGQ2ODllYzk5NWQwNWFjNDI3NmVmM2UxMGE1NDZjMDAiLCJ1c2VySWQiOiIxNjk2MzI1MzIxIn0=</vt:lpwstr>
  </property>
</Properties>
</file>