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6C3E5CB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rPr>
      </w:pPr>
      <w:r>
        <w:rPr>
          <w:rFonts w:asciiTheme="minorEastAsia" w:eastAsiaTheme="minorEastAsia" w:hAnsiTheme="minorEastAsia" w:cstheme="minorEastAsia" w:hint="eastAsia"/>
        </w:rPr>
        <w:t>新一代人工智能技术迅猛发展，使新媒体行业生产、经营的方式发生了翻天覆地的变化。内容的生产已经由原先完全依靠人工的模式转变为由人机共同完成的工作，运营决策也从依靠经验转变为依靠数据、算法智能驱动。变革使从业者的专业技术水平、艺术创造能力和战略思维有了新的期待，也直接传导到了高职人才的培养端。《加快数字人才培育支撑数字经济发展行动方案（2024-2026年）》指出要紧密围绕数字产业化、产业数字化的发展需求，提高数字人才的供给质量，提出要开展数字技能提升等行动</w:t>
      </w:r>
      <w:r>
        <w:rPr>
          <w:rFonts w:asciiTheme="minorEastAsia" w:eastAsiaTheme="minorEastAsia" w:hAnsiTheme="minorEastAsia" w:cstheme="minorEastAsia" w:hint="eastAsia"/>
          <w:vertAlign w:val="superscript"/>
        </w:rPr>
        <w:t>[1]</w:t>
      </w:r>
      <w:r>
        <w:rPr>
          <w:rFonts w:asciiTheme="minorEastAsia" w:eastAsiaTheme="minorEastAsia" w:hAnsiTheme="minorEastAsia" w:cstheme="minorEastAsia" w:hint="eastAsia"/>
        </w:rPr>
        <w:t>。《教育强国建设规划纲要（2024</w:t>
      </w:r>
      <w:r>
        <w:rPr>
          <w:rFonts w:asciiTheme="minorEastAsia" w:hAnsiTheme="minorEastAsia" w:cstheme="minorEastAsia" w:hint="eastAsia"/>
          <w:lang w:eastAsia="zh-CN"/>
        </w:rPr>
        <w:t>-</w:t>
      </w:r>
      <w:r>
        <w:rPr>
          <w:rFonts w:asciiTheme="minorEastAsia" w:eastAsiaTheme="minorEastAsia" w:hAnsiTheme="minorEastAsia" w:cstheme="minorEastAsia" w:hint="eastAsia"/>
        </w:rPr>
        <w:t>2035）》提出要“实施国家教育数字化战略，发挥人工智能在教育变革中的作用”，建设现代职业教育体系，培养大国工匠、能工巧匠、高技能人才。在这样的大环境下，高职院校新媒体运营相关专业怎样冲破传统技能训练的桎梏，培养出能在人机协作中快速应对复杂情形、持续革新的人才，成为急需探究的课题。</w:t>
      </w:r>
    </w:p>
    <w:p w14:paraId="4CBD3AE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default"/>
          <w:lang w:val="en-US" w:eastAsia="zh-CN"/>
        </w:rPr>
      </w:pPr>
      <w:r>
        <w:rPr>
          <w:rFonts w:asciiTheme="minorEastAsia" w:hAnsiTheme="minorEastAsia" w:cstheme="minorEastAsia" w:hint="eastAsia"/>
          <w:lang w:val="en-US" w:eastAsia="zh-CN"/>
        </w:rPr>
        <w:t>一、</w:t>
      </w:r>
      <w:r>
        <w:rPr>
          <w:rFonts w:asciiTheme="minorEastAsia" w:eastAsiaTheme="minorEastAsia" w:hAnsiTheme="minorEastAsia" w:cstheme="minorEastAsia" w:hint="eastAsia"/>
        </w:rPr>
        <w:t>人机协同视域下</w:t>
      </w:r>
      <w:r>
        <w:rPr>
          <w:rFonts w:asciiTheme="minorEastAsia" w:hAnsiTheme="minorEastAsia" w:cstheme="minorEastAsia" w:hint="eastAsia"/>
          <w:lang w:val="en-US" w:eastAsia="zh-CN"/>
        </w:rPr>
        <w:t>培养</w:t>
      </w:r>
      <w:r>
        <w:rPr>
          <w:rFonts w:asciiTheme="minorEastAsia" w:eastAsiaTheme="minorEastAsia" w:hAnsiTheme="minorEastAsia" w:cstheme="minorEastAsia" w:hint="eastAsia"/>
        </w:rPr>
        <w:t>高职新媒体运营人才实践能力的</w:t>
      </w:r>
      <w:r>
        <w:rPr>
          <w:rFonts w:asciiTheme="minorEastAsia" w:hAnsiTheme="minorEastAsia" w:cstheme="minorEastAsia" w:hint="eastAsia"/>
          <w:lang w:val="en-US" w:eastAsia="zh-CN"/>
        </w:rPr>
        <w:t>理论基础</w:t>
      </w:r>
    </w:p>
    <w:p w14:paraId="7777B73F">
      <w:r>
        <w:rPr>
          <w:rFonts w:asciiTheme="minorEastAsia" w:hAnsiTheme="minorEastAsia" w:cstheme="minorEastAsia" w:hint="eastAsia"/>
          <w:lang w:val="en-US" w:eastAsia="zh-CN"/>
        </w:rPr>
        <w:t>人机协同视域下的高职新媒体运营人才实践能力理论基础来自人机协同理论、分布式认知理论以及情境学习理论三者的综合启示。人机协同理论认为人与智能技术不是替代的关系，而是功能互补、优势互补的协作关系，人是价值判断者、战略决策者、创意策划者，智能工具是信息处理者、内容生产者、执行者，从而给理解新媒体运营人才驾驭AI而不是依附AI的能力结构提供一定的依据。分布式认知理论认为认知活动不会只存在于一个人的头脑里，而是分布在人、工具、平台以及环境之中，学生利用生成式人工智能进行内容策划，做数据分析以及用户运营的过程，就是人在与机器的交互中完成认知的卸载以及能力的重组。情境学习理论认为能力的产生是在真实或者高度仿真的任务情境中，在具体的业务项目中，学生只有参与策划、执行、反馈、修正的过程之后才能把操作技能转化为职业实践能力。由此可见，在人机协同视角下高职新媒体运营人才实践能力不是单一技能的训练，是技术赋能、真实任务、主体互动、开放生态共同作用下不断建构起来的复合能力，也为后面论述它的生成机制和培养路径给予了理论支撑。</w:t>
      </w:r>
      <w:bookmarkStart w:id="0" w:name="_GoBack"/>
      <w:bookmarkEnd w:id="0"/>
    </w:p>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5AB64C1"/>
    <w:rsid w:val="38D83FB2"/>
    <w:rsid w:val="55AB64C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customStyle="1" w:styleId="1">
    <w:name w:val="样式1"/>
    <w:basedOn w:val="Normal"/>
    <w:pPr>
      <w:spacing w:before="100" w:beforeLines="100" w:after="80" w:afterLines="80" w:line="440" w:lineRule="exact"/>
      <w:jc w:val="center"/>
      <w:outlineLvl w:val="0"/>
    </w:pPr>
    <w:rPr>
      <w:rFonts w:ascii="Calibri" w:eastAsia="黑体" w:hAnsi="Calibri" w:cs="宋体"/>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不在奢求</dc:creator>
  <cp:lastModifiedBy>不在奢求</cp:lastModifiedBy>
  <cp:revision>1</cp:revision>
  <dcterms:created xsi:type="dcterms:W3CDTF">2026-11-03T05:51:00Z</dcterms:created>
  <dcterms:modified xsi:type="dcterms:W3CDTF">2026-11-03T05:51:52Z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CE2BB649C07140068419516C284ACD24_11</vt:lpwstr>
  </property>
  <property fmtid="{D5CDD505-2E9C-101B-9397-08002B2CF9AE}" pid="3" name="KSOProductBuildVer">
    <vt:lpwstr>2052-12.1.0.29161</vt:lpwstr>
  </property>
  <property fmtid="{D5CDD505-2E9C-101B-9397-08002B2CF9AE}" pid="4" name="KSOTemplateDocerSaveRecord">
    <vt:lpwstr>eyJoZGlkIjoiMDVhYTcyYjU1OGRhZGVmMjE2Y2VhMzMzN2U0YWFmMTUiLCJ1c2VySWQiOiI0MDIyNjQyODgifQ==</vt:lpwstr>
  </property>
</Properties>
</file>