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46254C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bookmarkStart w:id="0" w:name="_GoBack"/>
      <w:bookmarkEnd w:id="0"/>
      <w:r>
        <w:rPr>
          <w:rFonts w:asciiTheme="minorEastAsia" w:eastAsiaTheme="minorEastAsia" w:hAnsiTheme="minorEastAsia" w:cstheme="minorEastAsia" w:hint="eastAsia"/>
        </w:rPr>
        <w:t>3.1构建一体化核算系统，夯实信息化基础</w:t>
      </w:r>
    </w:p>
    <w:p w14:paraId="0C795A4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3.1.1 统筹系统选型与分步部署</w:t>
      </w:r>
    </w:p>
    <w:p w14:paraId="7BBF55C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一体化核算系统是信息化核算推行的前提，系统的选型及实施的好坏直接决定了后续改造所花费的费用以及运行的效果。企业不能盲目购置或者一气呵成地铺开，应把核算系统的建设作为整个信息化建设的重要内容，实行统一规划、分步实施的原则。因此企业要根据自身的规模、行业属性以及战略方向，对市场上主流的财务软件以及云服务方案展开横向对比，主要研究系统的稳定程度，可扩展性以及服务能力，并优先挑选可集成多个模块，并具有开放接口的软件产品，防止出现数据孤岛的情况。选型的时候必须指定牵头单位以及评定标准，组织财务部、信息部、业务部相关人员一起对各个方案进行评审。硬件与软件平台都要统一规划、分阶段建设，不能造成资源的重复投资、浪费。部署时应该先对主要的核算场景进行梳理，确定凭证的录入顺序、账簿的建立顺序、报表的生成顺序以及资金收支的处理顺序，从基础较好的单位或业务线开始试点，验证接口是否兼容、运行是否稳定之后再逐步扩展。对多分支机构的企业要在集团层面留出集中核算、统一口径的扩展余地，保证系统可以随着组织的变迁、业务的增长而平滑地升级，从而真正筑牢信息化的基础。</w:t>
      </w:r>
    </w:p>
    <w:p w14:paraId="29CA48D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3.1.2 统一核算标准与持续运维机制</w:t>
      </w:r>
    </w:p>
    <w:p w14:paraId="7184C86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系统上线并不意味着一体化的实现，核算标准的统一以及持续的运维才是使系统长期有效运转的保证。企业要同步创建制度、标准、运维机制来避免出现“系统上线、标准不同”。部署的时候企业应该对自身的核算科目体系以及业务流程进行全方位的梳理，把凭证处理、账簿创建、报表编制以及资金往来等业务功能模块集中到一个统一的平台上，采用统一的科目编码以及数据标准，使各个模块的数据可以顺利地传递并相互衔接。对于有众多分支机构的企业，在集团层面可以创建集中核算平台，各成员单位使用同一个系统办理账务，核算口径由总部统一规定，总部可以掌握整个集团的财务状况，加快各个层次信息的传递速度。系统上线之后，企业就要形成一套日常维护制度，确定运维人员的分工，定时对系统的运行状况进行检查，收集一线操作人员的反馈意见，依照业务的发展变化及时调节系统的参数和功能，形成版本管理以及变更记录。通过标准统一、运维闭环来保证核算平台同企业的实际需求保持一致，防止系统闲置或者频繁变动。</w:t>
      </w:r>
    </w:p>
    <w:p w14:paraId="6962FA0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3.2 再造会计核算流程，释放技术工具效能</w:t>
      </w:r>
    </w:p>
    <w:p w14:paraId="6990BD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3.2.1 以业务端梳理推进关键环节自动化</w:t>
      </w:r>
    </w:p>
    <w:p w14:paraId="319A54E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信息化工具的价值发挥要依靠合理的核算流程来保证，流程不清晰、节点过多都会使系统效率降低。企业必须将流程改善当作技术落地的前提，从业务角度出发画出包含采购、销售、报销、资金支付等经济活动的全部流程图，逐条找到依靠手工操作的环节，评价哪些可以由系统自动执行，哪些仍需要人工判断，从而得到一份清晰的改造清单，再依据清单确定改造顺序及负责人。对于费用报销，可以采用线上报销的方式，员工在系统上提交电子报销单据，系统按照事先设置好的规则核验发票的真实性、报销标准以及审批权限，符合要求的报销单据自动生成记账凭证，节约纸质传递，加快报销速度。对应收应付业务要创建自动对账系统，定时把业务台账和账务记录对比，对异常项目立刻通知相关责任人，将往来账款清理工作从集中检查转变为日常管理。用条码或者电子标签可以对固定资产进行全程的跟踪，对固定资产的采购、调拨、折旧、处置等信息进行记录。通过清单化改造、场景化的自动化的改造来使重复低效环节被取代，把技术工具的效能发挥出来。</w:t>
      </w:r>
    </w:p>
    <w:p w14:paraId="4EBB6D7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3.2.2 同步更新岗位标准与审批层级</w:t>
      </w:r>
    </w:p>
    <w:p w14:paraId="0979154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流程自动化之后如果岗位职责以及审批规则没有做出相应的调整，很容易造成“系统自动生成、人手重复”的浪费。企业在流程再造与岗位标准更新并行推进的基础上，保证在自动化的环境下各个岗位职责清楚、操作标准明确，从而保证各岗位都能发挥其应有的作用。因此企业要依照改造清单重新编制岗位说明书，明确基础核算、复核、对账、资产管理等岗位在系统中所承担的工作内容、工作标准以及异常情况下的权限，使员工清楚地知道哪些事可以由系统自动处理，哪些事必须自己判断，并保留痕迹，将岗位操作标准嵌入系统权限以及流程配置当中，达成制度与系统的统一。多余的审批环节应该被合并或者取消，非增值环节设限时长标准，压缩流程的等待时间。需要人工判断的节点应该设定复核规则及抽查手段，防止出现因为自动化而产生的新的风险。企业应该时常对流程运行状况加以总结，并从系统的日志以及一线人员的反馈中获取信息，对不合理的审批路线以及操作准则做及时的调整，用处理时间以及返工率这样的指标来衡量再造的效果。经过岗位标准、审批规则以及运行复盘三者互相配合的调整，保证核算工作高效有序地运转在精简、自动化的轨道上，不能使流程再造只停留在技术的层面。</w:t>
      </w:r>
    </w:p>
    <w:p w14:paraId="129C1FA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drawing>
          <wp:inline distT="0" distB="0" distL="114300" distR="114300">
            <wp:extent cx="4326890" cy="2620645"/>
            <wp:effectExtent l="0" t="0" r="1270"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4">
                      <a:clrChange>
                        <a:clrFrom>
                          <a:srgbClr val="FAFAFA">
                            <a:alpha val="100000"/>
                          </a:srgbClr>
                        </a:clrFrom>
                        <a:clrTo>
                          <a:srgbClr val="FAFAFA">
                            <a:alpha val="100000"/>
                            <a:alpha val="0"/>
                          </a:srgbClr>
                        </a:clrTo>
                      </a:clrChange>
                    </a:blip>
                    <a:stretch>
                      <a:fillRect/>
                    </a:stretch>
                  </pic:blipFill>
                  <pic:spPr>
                    <a:xfrm>
                      <a:off x="0" y="0"/>
                      <a:ext cx="4326890" cy="2620645"/>
                    </a:xfrm>
                    <a:prstGeom prst="rect">
                      <a:avLst/>
                    </a:prstGeom>
                    <a:noFill/>
                    <a:ln>
                      <a:noFill/>
                    </a:ln>
                  </pic:spPr>
                </pic:pic>
              </a:graphicData>
            </a:graphic>
          </wp:inline>
        </w:drawing>
      </w:r>
    </w:p>
    <w:p w14:paraId="7F2D15E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图1</w:t>
      </w:r>
      <w:r>
        <w:rPr>
          <w:rFonts w:asciiTheme="minorEastAsia" w:hAnsiTheme="minorEastAsia" w:cstheme="minorEastAsia" w:hint="eastAsia"/>
          <w:lang w:val="en-US" w:eastAsia="zh-CN"/>
        </w:rPr>
        <w:t xml:space="preserve">  </w:t>
      </w:r>
      <w:r>
        <w:rPr>
          <w:rFonts w:asciiTheme="minorEastAsia" w:eastAsiaTheme="minorEastAsia" w:hAnsiTheme="minorEastAsia" w:cstheme="minorEastAsia" w:hint="eastAsia"/>
          <w:lang w:val="en-US" w:eastAsia="zh-CN"/>
        </w:rPr>
        <w:t>会计核算流程框架图</w:t>
      </w:r>
    </w:p>
    <w:p w14:paraId="38A729C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3.3培养复合型财务队伍，强化人才支撑保障</w:t>
      </w:r>
    </w:p>
    <w:p w14:paraId="6BB50B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3.3.1 开展能力盘点与分层分类培训</w:t>
      </w:r>
    </w:p>
    <w:p w14:paraId="65669A0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信息化时代核算人员能力结构的好坏决定核算系统的应用深度，财务人员转型工作要作为长期的工作来开展。企业需要先根据信息化岗位能力需求对现有的员工进行系统操作、数据分析、流程管理等各方面的不足进行盘点，然后制定分层分类的培训计划，防止出现“一刀切”。企业可采取岗位技能矩阵、问卷测评以及业务实操考评等方式展开能力盘点工作，创建培训档案并把培训内容同岗位任职资格联系起来。对于基础核算人员进行系统操作、电子档案管理、线上报销、自动对账等培训，使他们能对日常的核算工作有很好的掌握；对业务骨干开展数据分析、系统配置、接口协同等专业技能培训，提高业务骨干发现问题、改进流程的能力；对财务负责人主要进行信息化战略规划、项目管理、跨部门合作能力的培训，从而形成有层次的人才结构。持续培训与实战演练之后，就会渐渐克服能力上的不足，给核算体系的改善赋予稳固的人才保障。</w:t>
      </w:r>
    </w:p>
    <w:p w14:paraId="4428BD7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3.3.2 完善人才引进与考核激励机制</w:t>
      </w:r>
    </w:p>
    <w:p w14:paraId="191D7A8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培训及引进、激励不能构成一个完整的闭环，那么队伍转型就很难坚持下去。企业应该对人才引进政策进行调整，在招聘过程中适当引进具备财务、信息技术双重背景的复合型人才到核算体系建设、数据分析等岗位，给系统优化以及深度应用提供智力支持。可通过社会招聘、校园招聘、项目合作等渠道拓展人才来源，安排新员工参加系统上线、流程优化等项目，让新员工尽快进入业务场景。对于内部人员可以实行导师制、轮岗交流等方式，业务骨干带基础人员，技术人员理解财务环境，达到知识交流的目的。配套考核激励机制也要跟上，把系统应用水平、数据分析成果、流程优化贡献纳入绩效考核范围，对在信息化建设方面做出突出贡献的人才开辟晋升通道、给予薪酬倾斜，以达到“会用、会用、愿用”的效果。企业还应当明晰核算型向管理型转变的职业发展通道，对激励措施的效果定期评价，并且促使财务人员主动地去学习系统配置、数据治理以及经营分析的相关知识，从而保证队伍的专业能力和一体化核算、流程再造、安全防护等的要求相匹配。依靠引进、培养、激励三者共同发力，形成有财务、有信息化的复合型人才队伍。</w:t>
      </w:r>
    </w:p>
    <w:p w14:paraId="51607A8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3.4 健全信息安全防护体系，筑牢核算安全防线</w:t>
      </w:r>
    </w:p>
    <w:p w14:paraId="3CB0FF5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3.4.1 强化数据全生命周期管理与权限控制</w:t>
      </w:r>
    </w:p>
    <w:p w14:paraId="56DCDE2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核算体系转型之后，数据资产安全就成为企业不得不去面对的问题，安全建设要和系统建设一起推进。企业要制订出包含数据产生到消亡全过程的制度，对财务数据采集、传输、存储、使用、销毁等各个环节作出明确的规定，保证安全管理有章可循。企业要先创建数据分类分级清单，依照敏感程度制定不同密级的数据审批流程及负责人。对于核心账套的数据应该采取加密保存的方式，在不同的网络间使用安全通道传输数据，以免数据在传输过程中被窃取或者篡改，密级较高的数据应由专人保管。访问权限的管理应采用最小授权的原则，按岗位职责给账号分配权限，财务人员只能查看与本人工作相关联的功能模块，重要操作需要有完整的日志记录，便于事后追踪，离岗人员的账号立即注销、清除。企业应按季对权限进行检查，发现越权访问或者长期不用的账号应及时纠正，避免造成安全隐患。按照制度约束、加密传输、最小授权、日志跟踪来规范核算数据从产生到处理的全过程，筑牢核算数据安全基础。</w:t>
      </w:r>
    </w:p>
    <w:p w14:paraId="2C36584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3.4.2 健全备份恢复、运维防护与安全意识</w:t>
      </w:r>
    </w:p>
    <w:p w14:paraId="2156585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技术防护以及人员意识是安全管理的最后一道屏障，不能仅仅依靠制度而忽视日常维护。应该建立完善的数据备份体系，采用本地备份加异地备份的方式，定时对核算重要数据做备份，定期对备份的数据进行恢复测试。可以确定重要数据日备份、一般数据周备份，异地备份场所和主中心保持一定的安全距离，半年内至少进行一次恢复演练并做好记录。系统运维时应安装防火墙、入侵检测等软件，及时给系统打补丁来防外部攻击，定期检查系统漏洞，及时对发现的风险加以解决。企业应当加强安全意识培训工作，使员工了解账号的管理、密码设置、邮件识别、移动存储的使用等基础知识，降低因误操作、弱口令或者钓鱼邮件造成的安全漏洞。还要对系统管理员以及财务关键岗位人员进行专项安全演习，确定安全事件报告与应急处理的程序，建立安全事件台账，做到早发现、早报告、早解决。利用备份恢复、运维防护、人员意识这三个方面相结合的办法，从技术以及管理两个方面堵住核算数据安全漏洞，保证核算数据处于严密的保护之下安全运行。</w:t>
      </w:r>
    </w:p>
    <w:p w14:paraId="4AD0314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p>
    <w:p w14:paraId="032EBAE7"/>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8B5ACC"/>
    <w:rsid w:val="38D83FB2"/>
    <w:rsid w:val="5A8B5A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customStyle="1" w:styleId="1">
    <w:name w:val="样式1"/>
    <w:basedOn w:val="Normal"/>
    <w:qFormat/>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不在奢求</dc:creator>
  <cp:lastModifiedBy>不在奢求</cp:lastModifiedBy>
  <cp:revision>1</cp:revision>
  <dcterms:created xsi:type="dcterms:W3CDTF">2026-11-03T05:30:00Z</dcterms:created>
  <dcterms:modified xsi:type="dcterms:W3CDTF">2026-11-03T05:30:51Z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2A37BE3E2ED0421E9AABE58AF5E39D47_11</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eyJoZGlkIjoiMDVhYTcyYjU1OGRhZGVmMjE2Y2VhMzMzN2U0YWFmMTUiLCJ1c2VySWQiOiI0MDIyNjQyODgifQ==</vt:lpwstr>
  </property>
</Properties>
</file>