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00A80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诚实信用原则并不是存在于《民法典》总则第7条上的一种简单的宣示，而是渗透到了合同编、物权编、人格权编之中，构成了一条由抽象的价值到具体的规则的规范链。本文以《民法典》条文的设置为出发点，研究诚信原则在合同履行、权利行使、人格利益保护等具体制度中怎样产生可操作性的规范形态，探讨诚信原则在民商法中起到的补充、限制、调整以及衔接的作用。以近几年来司法实践中保理合同禁反言、滥用诉权、冒用企业联系方式等各类案件的实际情况为分析对象，对诚信原则适用尺度不一、程序保障不足的问题进行梳理，在类型化、举证责任分配以及司法价值取向等角度给出一些有限的完善建议。诚信原则的生命力不在于被频繁使用，而在于能否将诚信原则转化为可以被检验的裁判理由。</w:t>
      </w:r>
    </w:p>
    <w:p w14:paraId="2BFB9F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468C2E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民法典》第7条规定了总则中“诚实信用”、“遵守承诺”，它是民事活动的一条基本准则。但是原则性宣示本身不能产生裁判的效果，真正应该被关注的是，这样一个带有浓厚道德色彩的准则，怎样在法典内部找到规范上的落脚点，在司法实践中又怎样限定在合理的适用范围之内</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近些年来，最高人民法院一直致力于把社会主义核心价值观融入裁判文书的释法说理，诚信被列为应当在具体的案件中“落地”的一个价值观标准。不能只是停留在对失信行为的认定上，引用诚信原则时还要指出违背的是何种具体信赖结构、破坏了何种交易安排的可预期的安排。本文按照《民法典》的编排顺序梳理诚信原则由总则到分则扩散的过程，再集中讨论在司法适用中比较集中的几个难题，做出比较保守且具体化的论述。</w:t>
      </w:r>
    </w:p>
    <w:p w14:paraId="0B974F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16BA60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（三）调整功能</w:t>
      </w:r>
    </w:p>
    <w:p w14:paraId="46DCC9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调整功能是指对于已经存在的法律关系来说，在运行中出现了当事人缔约时所没有预料到的、或者虽然可以预料但是依照原定的安排继续履行会显失公平的情形。指导案例166号有类似的内容，即当事人达成债务清偿协议并约定违约金之后，若违约方主观恶意较大、严重违背诚实信用原则拒不履行协议，法院在违约金调减问题上将诚信原则与公平原则并列考虑，从而否定了违约方通过司法途径获得额外利益的途径</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调整的对象不是合同本身而是违约金的司法裁量，裁量方向受诚信原则的指引，恶意违约者若可以借助调减规则减轻自己的责任，则和解协议的功能就会被“虚化”。因此调整功能就具有了矫正的意味，它并不是要重新分配权利义务，而是要防止形式化的规则适用在具体的场景中产生与诚信要求相违背的结果。</w:t>
      </w:r>
    </w:p>
    <w:p w14:paraId="01BD65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（一）司法适用的现状与挑战</w:t>
      </w:r>
    </w:p>
    <w:p w14:paraId="40CEB1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从近几年公开的裁判文书、案例中可以发现诚信原则适用的次数较多，但是适用质量良莠不齐。常见的一种问题是“说理跳跃”，即裁判者认定某行为违反诚信原则之后，直接得出责任后果，没有对信赖基础、前后行为的关系和利益失衡程度进行中间论述。保理合同纠纷中禁反言适用的不足，即实践中对于债务人书面确认之后反言的情形一般持否定态度，但是对于先行行为的范围、保理人合理的信赖、债务人反证达到何种程度才能推翻禁反言，没有形成统一的裁判标准。另外程序上诚信原则适用会牵涉到当事人主观状态、信赖合理性的判断，但是举证责任在双方之间如何分配，现行规则也不总是清楚的。主张禁反言的一方应当证明到何种程度，被反驳一方又应该出示何种证据，如果没有明确的指引，诚信原则适用就会陷入主观臆断的境地。另外滥用诉权认定也存在同样的难题，拆分诉讼、重复起诉的行为在形式上是合法的，但是只有将前后诉讼过程作为一个整体加以考察，才能发现其不合理之处，这就需要裁判者有超越某个案件的程序思维。</w:t>
      </w:r>
    </w:p>
    <w:p w14:paraId="5C8890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（二）完善诚实信用原则适用的建议</w:t>
      </w:r>
    </w:p>
    <w:p w14:paraId="53BE5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1.类型化与具体化</w:t>
      </w:r>
    </w:p>
    <w:p w14:paraId="0A23E6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诚信原则的适度具体化可以从两个方面推进。在司法解释以及指导性案例当中，对于已经比较成熟的规则要件结构予以固定。保理合同中禁反言属于可以利用的突破口，构成要件最少要有一个行为或者陈述存在，相对人基于该行为或陈述作出合理信赖，且反言会带来显失公平，这三者缺一不可。将要件写明白以后，裁判者在处理类似的纠纷的时候就不会再需要把诚信当作起始点，从零开始再进行分析。二是注意类型化本身存在的限度。诚信原则的功能之一就是应对规则不能穷尽的情形，若将类型化推向极致，为每一个可能的不诚信行为事先设定规则，反而会使一般条款的灵活性下降。比较稳妥的做法就是，对于已经积累下来稳定的裁判经验领域（保理、劳动争议中录用撤销、知识产权恶意诉讼等）应该先进行具体的解释，在裁判经验还不十分丰富的领域，则应当保留一定的原则性判断余地，并且要求裁判文书要对判断的过程作出更为详细的阐述。</w:t>
      </w:r>
    </w:p>
    <w:p w14:paraId="4B9FAE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2.强化程序保障</w:t>
      </w:r>
    </w:p>
    <w:p w14:paraId="27FA23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诚信原则适用没有程序规则的支撑，很容易变成一个偶然的判断，即谁主张谁吃亏。保理纠纷中举证责任的分配可以产生延伸出来的思路，主张适用禁反言的保理人应当向法庭提交债务人出具书面或者其它可查证的证据证明应收账款的真实性，同时提交证据证明自己根据该证据发放了融资款。分配逻辑实质上就是把“合理信赖”当作裁判者主观感受的判断方式，而将其转化为双方之间可以互相辩论的证据结构。滥用诉权认定中法院可命令主张对方滥诉的一方提供前后诉讼之间的关联性资料，也可自行调取相关案件信息，将“拆分诉讼”、“重复维权”的认定建立在可以查证的程序事实的基础上。程序保障的加强不是为了确立一个统一的证明标准，而是使得诚信判断的每一个环节都有证据责任的归属，使诚信原则适用时的论证更加充实。</w:t>
      </w:r>
    </w:p>
    <w:p w14:paraId="772188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3.加强诚信建设</w:t>
      </w:r>
    </w:p>
    <w:p w14:paraId="4BB9FC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司法裁判对于诚信的支持，并不仅仅是针对失信行为进行否定评价，而且是肯定、激励守信行为。近几年来，最高人民法院发布的一系列社会主义核心价值观典型民事案例中，也有用人单位解除劳动合同违反诚信原则而承担缔约过失责任的情况，也有以信用修复的方式对诚信的债务人进行救济的情形。诚信建设不能依靠对失信行为进行处罚，而应该使守信人能感受到规则的可预见性，有实际纠纷中获得规则保障的可能。裁判说理中把诚信原则同社会主义核心价值观联系起来，而不能只是写成标签式的呼应，这是裁判说理的关键一步。裁判者要解释的是，一个行为被否决的理由并不是破坏了某种可以被保护的信赖，而应当是宣布它不符合诚信。失信惩戒机制运作的时候，必须要有比例意识，失信的法律后果应当与失信行为的不诚信程度、给他人造成的信赖损失和可归责性相适应，不能把诚信原则变成一种没有约束力的惩罚手段。</w:t>
      </w:r>
    </w:p>
    <w:p w14:paraId="63A6B6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71488A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rPr>
        <w:t>因此，《民法典》诚实信用原则已经不是孤立的总则宣示了，它依靠合同编义务群、物权与人格权编的行为规范以及大量中间层次的规则，有了可以逐层适用的规范形式。它所具有的补充、限制、调整、接引的功能分别对应着法律空白、权利滥用、情势变化和道德入法这四种不同的规范要求，不存在一条可以任意跨越的界限。司法实践中出现的问题并不是诚信原则“管得太宽”，而是在适用时缺少了足够的具体论证以及程序上的约束。将禁反言、权利滥用等有了一定的裁判经验的领域作为切入口，使要件和举证责任有相对明确的规定，同时保留原则对于尚未类型化的情境所具有的谨慎空间，或许就是诚信原则能够“有用而不滥用”的一种平实的路途。</w:t>
      </w:r>
    </w:p>
    <w:p w14:paraId="485775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5E0103"/>
    <w:rsid w:val="0D894C89"/>
    <w:rsid w:val="127C7933"/>
    <w:rsid w:val="194D4AF1"/>
    <w:rsid w:val="35147E93"/>
    <w:rsid w:val="38D83FB2"/>
    <w:rsid w:val="3D8A3E99"/>
    <w:rsid w:val="434535D0"/>
    <w:rsid w:val="47DC362C"/>
    <w:rsid w:val="58521BCD"/>
    <w:rsid w:val="62BE63FA"/>
    <w:rsid w:val="63D25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1113</Words>
  <Characters>1127</Characters>
  <Application>Microsoft Office Word</Application>
  <DocSecurity>0</DocSecurity>
  <Lines>0</Lines>
  <Paragraphs>0</Paragraphs>
  <ScaleCrop>false</ScaleCrop>
  <Company/>
  <LinksUpToDate>false</LinksUpToDate>
  <CharactersWithSpaces>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2026-11-03T04:15:03Z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