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41F2CF2">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大跨度桥梁桩基钻孔灌注桩施工工艺优化</w:t>
      </w:r>
    </w:p>
    <w:p w14:paraId="76F1E2F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摘要</w:t>
      </w:r>
      <w:r>
        <w:rPr>
          <w:rFonts w:asciiTheme="minorEastAsia" w:hAnsiTheme="minorEastAsia" w:cstheme="minorEastAsia" w:hint="eastAsia"/>
          <w:sz w:val="21"/>
          <w:szCs w:val="21"/>
          <w:lang w:eastAsia="zh-CN"/>
        </w:rPr>
        <w:t>：</w:t>
      </w:r>
      <w:r>
        <w:rPr>
          <w:rFonts w:asciiTheme="minorEastAsia" w:eastAsiaTheme="minorEastAsia" w:hAnsiTheme="minorEastAsia" w:cstheme="minorEastAsia" w:hint="eastAsia"/>
          <w:sz w:val="21"/>
          <w:szCs w:val="21"/>
        </w:rPr>
        <w:t>大跨度桥梁主墩基础多为大直径超深钻孔灌注桩群桩基础，该类桩基成孔深、入岩要求高、孔壁稳定性差，单桩成孔顺序施工很难达到质量与效率的统一。本文以某主跨长2300m的斜拉桥主墩桩基施工为研究对象，整理复杂地质、大桩径、恶劣水域环境下的施工难点，从总体流程、钢护筒插打、成孔工艺、泥浆护壁与清孔、钢筋笼制作安装、水下混凝土灌注六个部分对钻孔灌注桩施工工艺的优化提出建议，介绍BIM模拟、智能后压浆、数字化测温等智能化技术在施工现场的应用情况。经由改进的工艺体系可以使得单桩成孔时间缩短，桩基质量合格率到达一类桩标准，泥浆做到了零排放，施工成本比传统工艺低了一成左右，给大直径超深钻孔灌注桩在类似桥梁工程的施工给予了可参照的技术方案。</w:t>
      </w:r>
    </w:p>
    <w:p w14:paraId="1B087EA6">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关键词</w:t>
      </w:r>
      <w:r>
        <w:rPr>
          <w:rFonts w:asciiTheme="minorEastAsia" w:hAnsiTheme="minorEastAsia" w:cstheme="minorEastAsia" w:hint="eastAsia"/>
          <w:sz w:val="21"/>
          <w:szCs w:val="21"/>
          <w:lang w:eastAsia="zh-CN"/>
        </w:rPr>
        <w:t>：</w:t>
      </w:r>
      <w:r>
        <w:rPr>
          <w:rFonts w:asciiTheme="minorEastAsia" w:eastAsiaTheme="minorEastAsia" w:hAnsiTheme="minorEastAsia" w:cstheme="minorEastAsia" w:hint="eastAsia"/>
          <w:sz w:val="21"/>
          <w:szCs w:val="21"/>
        </w:rPr>
        <w:t>钻孔灌注桩；施工工艺优化；大直径超深桩；钢护筒插打；泥浆护壁；水下混凝土灌注</w:t>
      </w:r>
    </w:p>
    <w:p w14:paraId="7C12C130">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引言</w:t>
      </w:r>
    </w:p>
    <w:p w14:paraId="0DB811F1">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随着跨江跨海大桥向大跨径、深水区的发展，主墩基础施工量和施工难度也越来越大，钻孔灌注桩作为大跨径、深水区桥梁最常见的基础形式，施工质量的好坏直接影响到上部结构的受力安全及使用寿命。按照目前的公路桥涵施工技术规范（JTG/T3650-2020）对钻孔灌注桩成孔、成桩检验以及大直径超长灌注桩施工有详细的技术要求，为桩基施工质量控制提供最基本的准则</w:t>
      </w:r>
      <w:r>
        <w:rPr>
          <w:rFonts w:asciiTheme="minorEastAsia" w:eastAsiaTheme="minorEastAsia" w:hAnsiTheme="minorEastAsia" w:cstheme="minorEastAsia" w:hint="eastAsia"/>
          <w:sz w:val="21"/>
          <w:szCs w:val="21"/>
          <w:vertAlign w:val="superscript"/>
        </w:rPr>
        <w:t>[1]</w:t>
      </w:r>
      <w:r>
        <w:rPr>
          <w:rFonts w:asciiTheme="minorEastAsia" w:eastAsiaTheme="minorEastAsia" w:hAnsiTheme="minorEastAsia" w:cstheme="minorEastAsia" w:hint="eastAsia"/>
          <w:sz w:val="21"/>
          <w:szCs w:val="21"/>
        </w:rPr>
        <w:t>。主跨为2300米的斜拉桥主墩共有97根钻孔桩，最大一根桩混凝土用量大于1000m³，桩底嵌入微风化破碎基岩，桩位水深大、流速快、浪高大，软弱覆盖层厚，在这样的条件下如果采用常规工艺很容易产生缩孔、塌孔、偏斜、护筒失稳等问题。为了克服以上障碍，在施工过程中从组织流程到各个关键工序依次进行优化，使工序之间等待、冲突减少到最低程度，桩身质量好、环保指标高、成孔效率高，本文将对这样的工艺优化思路和效果进行系统的总结。</w:t>
      </w:r>
    </w:p>
    <w:p w14:paraId="64A0EA2B">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1工程背景</w:t>
      </w:r>
    </w:p>
    <w:p w14:paraId="5E3511C6">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该大跨度跨江大桥主跨长2300m，是双塔双索面钢箱梁斜拉桥，目前世界上主跨最大的桥。大桥主墩基础大直径钻孔灌注桩群桩，南航道桥北主塔桩基共设钻孔桩97根，桩径均为2.8m，桩长分为96m和103m两种，单根桩最大混凝土用量达1042m³，钢筋笼最大重量为103t，单根钢护筒最大长度73m、最大重量192t。桩位处水深大约有21m，软弱覆盖层的厚度大约有80m，基岩面倾斜，破碎。桥址区地层主要是淤泥质粉质黏土、粉砂、圆砾和破碎基岩，软硬互层明显，容易发生缩孔、塌孔、钻孔偏斜等现象。桩基垂直度控制在1%以内且不大于50cm，超深桩基垂直度控制难度大，哪怕有一点点的偏差，都会造成钢筋笼不能顺利入孔，还会造成桩基受力不均。桩位远离陆地，水深流急浪大，钢护筒定位精度高、插打难，单根重达200多吨的钢护筒还要承受施工期间巨大的荷载、水流的冲击，稳定性、密封性要求高，定位不准或者插打偏斜，一般都必须整体拔出重新施工，耽误工期并造成周边孔壁扰动。主墩97根桩多机同时开工，多工位同步成孔，场地大，大型设备集中布置，资源调度及组织协调难度较大。世界级桥梁工程桩基质量要求很高，所有桩基都必须达到一类桩标准，桥址在生态敏感区，泥浆零排放、钻渣外运。</w:t>
      </w:r>
    </w:p>
    <w:p w14:paraId="4A38380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2大跨度桥梁桩基钻孔灌注桩施工工艺优化</w:t>
      </w:r>
    </w:p>
    <w:p w14:paraId="323ED3AA">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2.1施工总体流程优化</w:t>
      </w:r>
    </w:p>
    <w:p w14:paraId="2EDD0C2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传统的钻孔灌注桩施工一般采用逐</w:t>
      </w:r>
      <w:r>
        <w:rPr>
          <w:rFonts w:asciiTheme="minorEastAsia" w:hAnsiTheme="minorEastAsia" w:cstheme="minorEastAsia" w:hint="eastAsia"/>
          <w:sz w:val="21"/>
          <w:szCs w:val="21"/>
          <w:lang w:eastAsia="zh-CN"/>
        </w:rPr>
        <w:t>桩施</w:t>
      </w:r>
      <w:r>
        <w:rPr>
          <w:rFonts w:asciiTheme="minorEastAsia" w:eastAsiaTheme="minorEastAsia" w:hAnsiTheme="minorEastAsia" w:cstheme="minorEastAsia" w:hint="eastAsia"/>
          <w:sz w:val="21"/>
          <w:szCs w:val="21"/>
        </w:rPr>
        <w:t>工、顺序作业的方式，一</w:t>
      </w:r>
      <w:r>
        <w:rPr>
          <w:rFonts w:asciiTheme="minorEastAsia" w:hAnsiTheme="minorEastAsia" w:cstheme="minorEastAsia" w:hint="eastAsia"/>
          <w:sz w:val="21"/>
          <w:szCs w:val="21"/>
          <w:lang w:eastAsia="zh-CN"/>
        </w:rPr>
        <w:t>台</w:t>
      </w:r>
      <w:r>
        <w:rPr>
          <w:rFonts w:asciiTheme="minorEastAsia" w:eastAsiaTheme="minorEastAsia" w:hAnsiTheme="minorEastAsia" w:cstheme="minorEastAsia" w:hint="eastAsia"/>
          <w:sz w:val="21"/>
          <w:szCs w:val="21"/>
        </w:rPr>
        <w:t>设备走完所有的桩位之后，各工序之间相互制约、相互影响，造成窝工和等待现象严重，效率低</w:t>
      </w:r>
      <w:r>
        <w:rPr>
          <w:rFonts w:asciiTheme="minorEastAsia" w:eastAsiaTheme="minorEastAsia" w:hAnsiTheme="minorEastAsia" w:cstheme="minorEastAsia" w:hint="eastAsia"/>
          <w:sz w:val="21"/>
          <w:szCs w:val="21"/>
          <w:vertAlign w:val="superscript"/>
        </w:rPr>
        <w:t>[</w:t>
      </w:r>
      <w:r>
        <w:rPr>
          <w:rFonts w:asciiTheme="minorEastAsia" w:hAnsiTheme="minorEastAsia" w:cstheme="minorEastAsia" w:hint="eastAsia"/>
          <w:sz w:val="21"/>
          <w:szCs w:val="21"/>
          <w:vertAlign w:val="superscript"/>
          <w:lang w:val="en-US" w:eastAsia="zh-CN"/>
        </w:rPr>
        <w:t>2</w:t>
      </w:r>
      <w:r>
        <w:rPr>
          <w:rFonts w:asciiTheme="minorEastAsia" w:eastAsiaTheme="minorEastAsia" w:hAnsiTheme="minorEastAsia" w:cstheme="minorEastAsia" w:hint="eastAsia"/>
          <w:sz w:val="21"/>
          <w:szCs w:val="21"/>
          <w:vertAlign w:val="superscript"/>
        </w:rPr>
        <w:t>]</w:t>
      </w:r>
      <w:r>
        <w:rPr>
          <w:rFonts w:asciiTheme="minorEastAsia" w:eastAsiaTheme="minorEastAsia" w:hAnsiTheme="minorEastAsia" w:cstheme="minorEastAsia" w:hint="eastAsia"/>
          <w:sz w:val="21"/>
          <w:szCs w:val="21"/>
        </w:rPr>
        <w:t>。通过合理安排施工组织，采用分区</w:t>
      </w:r>
      <w:r>
        <w:rPr>
          <w:rFonts w:asciiTheme="minorEastAsia" w:hAnsiTheme="minorEastAsia" w:cstheme="minorEastAsia" w:hint="eastAsia"/>
          <w:sz w:val="21"/>
          <w:szCs w:val="21"/>
          <w:lang w:eastAsia="zh-CN"/>
        </w:rPr>
        <w:t>施</w:t>
      </w:r>
      <w:r>
        <w:rPr>
          <w:rFonts w:asciiTheme="minorEastAsia" w:eastAsiaTheme="minorEastAsia" w:hAnsiTheme="minorEastAsia" w:cstheme="minorEastAsia" w:hint="eastAsia"/>
          <w:sz w:val="21"/>
          <w:szCs w:val="21"/>
        </w:rPr>
        <w:t>工、平行作业的方式</w:t>
      </w:r>
      <w:r>
        <w:rPr>
          <w:rFonts w:asciiTheme="minorEastAsia" w:hAnsiTheme="minorEastAsia" w:cstheme="minorEastAsia" w:hint="eastAsia"/>
          <w:sz w:val="21"/>
          <w:szCs w:val="21"/>
          <w:lang w:eastAsia="zh-CN"/>
        </w:rPr>
        <w:t>进</w:t>
      </w:r>
      <w:r>
        <w:rPr>
          <w:rFonts w:asciiTheme="minorEastAsia" w:eastAsiaTheme="minorEastAsia" w:hAnsiTheme="minorEastAsia" w:cstheme="minorEastAsia" w:hint="eastAsia"/>
          <w:sz w:val="21"/>
          <w:szCs w:val="21"/>
        </w:rPr>
        <w:t>行施工，将主墩桩基划分为四个施工区，每个施工区单独配置钻孔、钢筋笼制作、混凝土灌注设备，实现区与区之间平行施工、区内各工序流水作业，使施工机械及劳动力得到合理分配，工序衔接紧密。从施工准备及平台搭建、钢护筒精准插打、钻机就位及泥浆制备、分层钻进成孔、第一次清孔及检孔、钢筋笼分段制作及快速安装、二次清孔、水下混凝土浇筑、桩基质量检测等环节，各个环节环环相扣、责任分明，给后续各项工艺改进做好了组织上的铺垫。</w:t>
      </w:r>
    </w:p>
    <w:p w14:paraId="6E0BF40D">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asciiTheme="minorEastAsia" w:eastAsiaTheme="minorEastAsia" w:hAnsiTheme="minorEastAsia" w:cstheme="minorEastAsia" w:hint="eastAsia"/>
          <w:sz w:val="21"/>
          <w:szCs w:val="21"/>
          <w:lang w:eastAsia="zh-CN"/>
        </w:rPr>
      </w:pPr>
      <w:r>
        <w:rPr>
          <w:rFonts w:asciiTheme="minorEastAsia" w:eastAsiaTheme="minorEastAsia" w:hAnsiTheme="minorEastAsia" w:cstheme="minorEastAsia" w:hint="eastAsia"/>
          <w:sz w:val="21"/>
          <w:szCs w:val="21"/>
          <w:lang w:eastAsia="zh-CN"/>
        </w:rPr>
        <w:drawing>
          <wp:inline distT="0" distB="0" distL="114300" distR="114300">
            <wp:extent cx="3034665" cy="5141595"/>
            <wp:effectExtent l="0" t="0" r="0" b="0"/>
            <wp:docPr id="2" name="图片 2" descr="桩基施工工艺流程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桩基施工工艺流程图 (2)"/>
                    <pic:cNvPicPr>
                      <a:picLocks noChangeAspect="1"/>
                    </pic:cNvPicPr>
                  </pic:nvPicPr>
                  <pic:blipFill>
                    <a:blip xmlns:r="http://schemas.openxmlformats.org/officeDocument/2006/relationships" r:embed="rId4"/>
                    <a:srcRect l="15636" t="5907" r="15173" b="6168"/>
                    <a:stretch>
                      <a:fillRect/>
                    </a:stretch>
                  </pic:blipFill>
                  <pic:spPr>
                    <a:xfrm>
                      <a:off x="0" y="0"/>
                      <a:ext cx="3034665" cy="5141595"/>
                    </a:xfrm>
                    <a:prstGeom prst="rect">
                      <a:avLst/>
                    </a:prstGeom>
                  </pic:spPr>
                </pic:pic>
              </a:graphicData>
            </a:graphic>
          </wp:inline>
        </w:drawing>
      </w:r>
    </w:p>
    <w:p w14:paraId="0703CDF3">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asciiTheme="minorEastAsia" w:eastAsiaTheme="minorEastAsia" w:hAnsiTheme="minorEastAsia" w:cstheme="minorEastAsia" w:hint="default"/>
          <w:sz w:val="21"/>
          <w:szCs w:val="21"/>
          <w:lang w:val="en-US" w:eastAsia="zh-CN"/>
        </w:rPr>
      </w:pPr>
      <w:r>
        <w:rPr>
          <w:rFonts w:asciiTheme="minorEastAsia" w:eastAsiaTheme="minorEastAsia" w:hAnsiTheme="minorEastAsia" w:cstheme="minorEastAsia" w:hint="eastAsia"/>
          <w:sz w:val="21"/>
          <w:szCs w:val="21"/>
        </w:rPr>
        <w:t>图1</w:t>
      </w:r>
      <w:r>
        <w:rPr>
          <w:rFonts w:asciiTheme="minorEastAsia" w:hAnsiTheme="minorEastAsia" w:cstheme="minorEastAsia" w:hint="eastAsia"/>
          <w:sz w:val="21"/>
          <w:szCs w:val="21"/>
          <w:lang w:val="en-US" w:eastAsia="zh-CN"/>
        </w:rPr>
        <w:t xml:space="preserve"> 施工工艺流程图</w:t>
      </w:r>
    </w:p>
    <w:p w14:paraId="5BA69B7E">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2.2关键施工技术优化</w:t>
      </w:r>
    </w:p>
    <w:p w14:paraId="6AF438E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2.2.1钢护筒精准插打技术</w:t>
      </w:r>
    </w:p>
    <w:p w14:paraId="68C257E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钢护筒是钻孔灌注桩的导向装置，钢护筒的位置准确定位的好坏、钢护筒的稳定性好坏都会直接影响</w:t>
      </w:r>
      <w:r>
        <w:rPr>
          <w:rFonts w:asciiTheme="minorEastAsia" w:hAnsiTheme="minorEastAsia" w:cstheme="minorEastAsia" w:hint="eastAsia"/>
          <w:sz w:val="21"/>
          <w:szCs w:val="21"/>
          <w:lang w:eastAsia="zh-CN"/>
        </w:rPr>
        <w:t>到后</w:t>
      </w:r>
      <w:r>
        <w:rPr>
          <w:rFonts w:asciiTheme="minorEastAsia" w:eastAsiaTheme="minorEastAsia" w:hAnsiTheme="minorEastAsia" w:cstheme="minorEastAsia" w:hint="eastAsia"/>
          <w:sz w:val="21"/>
          <w:szCs w:val="21"/>
        </w:rPr>
        <w:t>继的成孔质量。工程中用锤击初稳、分级</w:t>
      </w:r>
      <w:r>
        <w:rPr>
          <w:rFonts w:asciiTheme="minorEastAsia" w:hAnsiTheme="minorEastAsia" w:cstheme="minorEastAsia" w:hint="eastAsia"/>
          <w:sz w:val="21"/>
          <w:szCs w:val="21"/>
          <w:lang w:eastAsia="zh-CN"/>
        </w:rPr>
        <w:t>分</w:t>
      </w:r>
      <w:r>
        <w:rPr>
          <w:rFonts w:asciiTheme="minorEastAsia" w:eastAsiaTheme="minorEastAsia" w:hAnsiTheme="minorEastAsia" w:cstheme="minorEastAsia" w:hint="eastAsia"/>
          <w:sz w:val="21"/>
          <w:szCs w:val="21"/>
        </w:rPr>
        <w:t>次钻孔、分次锤击跟进的方法插打护筒。定位时采用GPS-RTK和全站仪双控，先在江面上搭设定位点，用全站仪精确放样，使护筒中心偏移不超过5cm，再用GPS-RTK复核校正，双控技术互相验证，保证护筒中心准确无误。面对软硬互层的地层施工，采用分级钻进、分级锤击跟进的方法，先钻进到软弱层底界，然后锤击护筒跟进，循环直到达到设计标高为止，不会造成护筒偏斜、卡钻。对深度大的护筒在底端增加刃脚以提高护筒的入土能力，在顶段设置临时支撑防止钻进时发生晃动。插打完毕立即对护筒平面位置、垂直度及埋深进行复测，不符合要求的立即纠偏，保证成孔有稳定的导向。对护筒插打全过程进行工序卡确认，每根护筒定位数据、锤击参数、复测结果都要做好记录，形成可以追溯的质量档案，利于施工过程中随时复查、纠偏</w:t>
      </w:r>
      <w:r>
        <w:rPr>
          <w:rFonts w:asciiTheme="minorEastAsia" w:eastAsiaTheme="minorEastAsia" w:hAnsiTheme="minorEastAsia" w:cstheme="minorEastAsia" w:hint="eastAsia"/>
          <w:sz w:val="21"/>
          <w:szCs w:val="21"/>
          <w:vertAlign w:val="superscript"/>
        </w:rPr>
        <w:t>[</w:t>
      </w:r>
      <w:r>
        <w:rPr>
          <w:rFonts w:asciiTheme="minorEastAsia" w:hAnsiTheme="minorEastAsia" w:cstheme="minorEastAsia" w:hint="eastAsia"/>
          <w:sz w:val="21"/>
          <w:szCs w:val="21"/>
          <w:vertAlign w:val="superscript"/>
          <w:lang w:val="en-US" w:eastAsia="zh-CN"/>
        </w:rPr>
        <w:t>3</w:t>
      </w:r>
      <w:r>
        <w:rPr>
          <w:rFonts w:asciiTheme="minorEastAsia" w:eastAsiaTheme="minorEastAsia" w:hAnsiTheme="minorEastAsia" w:cstheme="minorEastAsia" w:hint="eastAsia"/>
          <w:sz w:val="21"/>
          <w:szCs w:val="21"/>
          <w:vertAlign w:val="superscript"/>
        </w:rPr>
        <w:t>]</w:t>
      </w:r>
      <w:r>
        <w:rPr>
          <w:rFonts w:asciiTheme="minorEastAsia" w:eastAsiaTheme="minorEastAsia" w:hAnsiTheme="minorEastAsia" w:cstheme="minorEastAsia" w:hint="eastAsia"/>
          <w:sz w:val="21"/>
          <w:szCs w:val="21"/>
        </w:rPr>
        <w:t>。</w:t>
      </w:r>
    </w:p>
    <w:p w14:paraId="1B6B1DA6">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2.2.2成孔工艺优化</w:t>
      </w:r>
    </w:p>
    <w:p w14:paraId="00E152B2">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复杂地质条件下单一钻机不能同时适应穿越覆盖层和钻进岩层两种不同的工况，本工程采用</w:t>
      </w:r>
      <w:r>
        <w:rPr>
          <w:rFonts w:asciiTheme="minorEastAsia" w:hAnsiTheme="minorEastAsia" w:cstheme="minorEastAsia" w:hint="eastAsia"/>
          <w:sz w:val="21"/>
          <w:szCs w:val="21"/>
          <w:lang w:eastAsia="zh-CN"/>
        </w:rPr>
        <w:t>了</w:t>
      </w:r>
      <w:r>
        <w:rPr>
          <w:rFonts w:asciiTheme="minorEastAsia" w:eastAsiaTheme="minorEastAsia" w:hAnsiTheme="minorEastAsia" w:cstheme="minorEastAsia" w:hint="eastAsia"/>
          <w:sz w:val="21"/>
          <w:szCs w:val="21"/>
        </w:rPr>
        <w:t>“旋挖钻引孔、回旋钻接力成</w:t>
      </w:r>
      <w:r>
        <w:rPr>
          <w:rFonts w:asciiTheme="minorEastAsia" w:hAnsiTheme="minorEastAsia" w:cstheme="minorEastAsia" w:hint="eastAsia"/>
          <w:sz w:val="21"/>
          <w:szCs w:val="21"/>
          <w:lang w:eastAsia="zh-CN"/>
        </w:rPr>
        <w:t>孔</w:t>
      </w:r>
      <w:r>
        <w:rPr>
          <w:rFonts w:asciiTheme="minorEastAsia" w:eastAsiaTheme="minorEastAsia" w:hAnsiTheme="minorEastAsia" w:cstheme="minorEastAsia" w:hint="eastAsia"/>
          <w:sz w:val="21"/>
          <w:szCs w:val="21"/>
        </w:rPr>
        <w:t>”的组合工艺。旋挖钻成孔速度快、自动化程度高，先用旋挖钻迅速穿越软土覆盖层，形成初步桩孔，然后用回旋钻接力完成破碎基岩段的钻进工作，依靠回旋钻低速大扭矩的特点平稳钻进，控制好孔斜。钻进参数随着地质情况的改变而</w:t>
      </w:r>
      <w:r>
        <w:rPr>
          <w:rFonts w:asciiTheme="minorEastAsia" w:hAnsiTheme="minorEastAsia" w:cstheme="minorEastAsia" w:hint="eastAsia"/>
          <w:sz w:val="21"/>
          <w:szCs w:val="21"/>
          <w:lang w:eastAsia="zh-CN"/>
        </w:rPr>
        <w:t>变</w:t>
      </w:r>
      <w:r>
        <w:rPr>
          <w:rFonts w:asciiTheme="minorEastAsia" w:eastAsiaTheme="minorEastAsia" w:hAnsiTheme="minorEastAsia" w:cstheme="minorEastAsia" w:hint="eastAsia"/>
          <w:sz w:val="21"/>
          <w:szCs w:val="21"/>
        </w:rPr>
        <w:t>动，软土</w:t>
      </w:r>
      <w:r>
        <w:rPr>
          <w:rFonts w:asciiTheme="minorEastAsia" w:hAnsiTheme="minorEastAsia" w:cstheme="minorEastAsia" w:hint="eastAsia"/>
          <w:sz w:val="21"/>
          <w:szCs w:val="21"/>
          <w:lang w:eastAsia="zh-CN"/>
        </w:rPr>
        <w:t>中</w:t>
      </w:r>
      <w:r>
        <w:rPr>
          <w:rFonts w:asciiTheme="minorEastAsia" w:eastAsiaTheme="minorEastAsia" w:hAnsiTheme="minorEastAsia" w:cstheme="minorEastAsia" w:hint="eastAsia"/>
          <w:sz w:val="21"/>
          <w:szCs w:val="21"/>
        </w:rPr>
        <w:t>用低压慢转，</w:t>
      </w:r>
      <w:r>
        <w:rPr>
          <w:rFonts w:asciiTheme="minorEastAsia" w:hAnsiTheme="minorEastAsia" w:cstheme="minorEastAsia" w:hint="eastAsia"/>
          <w:sz w:val="21"/>
          <w:szCs w:val="21"/>
          <w:lang w:eastAsia="zh-CN"/>
        </w:rPr>
        <w:t>硬</w:t>
      </w:r>
      <w:r>
        <w:rPr>
          <w:rFonts w:asciiTheme="minorEastAsia" w:eastAsiaTheme="minorEastAsia" w:hAnsiTheme="minorEastAsia" w:cstheme="minorEastAsia" w:hint="eastAsia"/>
          <w:sz w:val="21"/>
          <w:szCs w:val="21"/>
        </w:rPr>
        <w:t>岩中用高</w:t>
      </w:r>
      <w:r>
        <w:rPr>
          <w:rFonts w:asciiTheme="minorEastAsia" w:hAnsiTheme="minorEastAsia" w:cstheme="minorEastAsia" w:hint="eastAsia"/>
          <w:sz w:val="21"/>
          <w:szCs w:val="21"/>
          <w:lang w:eastAsia="zh-CN"/>
        </w:rPr>
        <w:t>压</w:t>
      </w:r>
      <w:r>
        <w:rPr>
          <w:rFonts w:asciiTheme="minorEastAsia" w:eastAsiaTheme="minorEastAsia" w:hAnsiTheme="minorEastAsia" w:cstheme="minorEastAsia" w:hint="eastAsia"/>
          <w:sz w:val="21"/>
          <w:szCs w:val="21"/>
        </w:rPr>
        <w:t>快转，防止忽快忽慢造成偏斜。垂直度控制是保证成孔成功的重要条件，桩孔垂直度偏差应不大于1%，即当孔深为L时，孔口和孔底允许的偏移值不应大于0.01L。成孔时每隔5-10m就用超声波成孔检测仪检测一次孔径、垂直度和沉渣厚度，有异常时立即调整，使成孔质量始终处于受控状态。钻到设计深度后用测绳和重锤配合钻机深度计数器一起校核孔深，用超声波检测复核桩孔全断面尺寸，保证入岩深度、孔径符合要求后再进行清孔</w:t>
      </w:r>
      <w:r>
        <w:rPr>
          <w:rFonts w:asciiTheme="minorEastAsia" w:eastAsiaTheme="minorEastAsia" w:hAnsiTheme="minorEastAsia" w:cstheme="minorEastAsia" w:hint="eastAsia"/>
          <w:sz w:val="21"/>
          <w:szCs w:val="21"/>
          <w:vertAlign w:val="superscript"/>
        </w:rPr>
        <w:t>[</w:t>
      </w:r>
      <w:r>
        <w:rPr>
          <w:rFonts w:asciiTheme="minorEastAsia" w:hAnsiTheme="minorEastAsia" w:cstheme="minorEastAsia" w:hint="eastAsia"/>
          <w:sz w:val="21"/>
          <w:szCs w:val="21"/>
          <w:vertAlign w:val="superscript"/>
          <w:lang w:val="en-US" w:eastAsia="zh-CN"/>
        </w:rPr>
        <w:t>4</w:t>
      </w:r>
      <w:r>
        <w:rPr>
          <w:rFonts w:asciiTheme="minorEastAsia" w:eastAsiaTheme="minorEastAsia" w:hAnsiTheme="minorEastAsia" w:cstheme="minorEastAsia" w:hint="eastAsia"/>
          <w:sz w:val="21"/>
          <w:szCs w:val="21"/>
          <w:vertAlign w:val="superscript"/>
        </w:rPr>
        <w:t>]</w:t>
      </w:r>
      <w:r>
        <w:rPr>
          <w:rFonts w:asciiTheme="minorEastAsia" w:eastAsiaTheme="minorEastAsia" w:hAnsiTheme="minorEastAsia" w:cstheme="minorEastAsia" w:hint="eastAsia"/>
          <w:sz w:val="21"/>
          <w:szCs w:val="21"/>
        </w:rPr>
        <w:t>。</w:t>
      </w:r>
    </w:p>
    <w:p w14:paraId="63B2326A">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p>
    <w:p w14:paraId="206CC70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2.3智能化施工技术应用</w:t>
      </w:r>
    </w:p>
    <w:p w14:paraId="135E308D">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根据钻孔灌注桩施工中“</w:t>
      </w:r>
      <w:r>
        <w:rPr>
          <w:rFonts w:asciiTheme="minorEastAsia" w:hAnsiTheme="minorEastAsia" w:cstheme="minorEastAsia" w:hint="eastAsia"/>
          <w:sz w:val="21"/>
          <w:szCs w:val="21"/>
          <w:lang w:eastAsia="zh-CN"/>
        </w:rPr>
        <w:t>看</w:t>
      </w:r>
      <w:r>
        <w:rPr>
          <w:rFonts w:asciiTheme="minorEastAsia" w:eastAsiaTheme="minorEastAsia" w:hAnsiTheme="minorEastAsia" w:cstheme="minorEastAsia" w:hint="eastAsia"/>
          <w:sz w:val="21"/>
          <w:szCs w:val="21"/>
        </w:rPr>
        <w:t>不见、摸不着”</w:t>
      </w:r>
      <w:r>
        <w:rPr>
          <w:rFonts w:asciiTheme="minorEastAsia" w:hAnsiTheme="minorEastAsia" w:cstheme="minorEastAsia" w:hint="eastAsia"/>
          <w:sz w:val="21"/>
          <w:szCs w:val="21"/>
          <w:lang w:eastAsia="zh-CN"/>
        </w:rPr>
        <w:t>隐</w:t>
      </w:r>
      <w:r>
        <w:rPr>
          <w:rFonts w:asciiTheme="minorEastAsia" w:eastAsiaTheme="minorEastAsia" w:hAnsiTheme="minorEastAsia" w:cstheme="minorEastAsia" w:hint="eastAsia"/>
          <w:sz w:val="21"/>
          <w:szCs w:val="21"/>
        </w:rPr>
        <w:t>蔽的特点，本文采用一些智能化的方式加强过程控制。施工前用BIM技术模拟桩基受力，对钢筋笼进行改进，优化泥浆比重，减少扩孔次数，早发现设计问题及施工难点。桩底桩侧后压浆可以明显提高</w:t>
      </w:r>
      <w:bookmarkStart w:id="0" w:name="_GoBack"/>
      <w:bookmarkEnd w:id="0"/>
      <w:r>
        <w:rPr>
          <w:rFonts w:asciiTheme="minorEastAsia" w:eastAsiaTheme="minorEastAsia" w:hAnsiTheme="minorEastAsia" w:cstheme="minorEastAsia" w:hint="eastAsia"/>
          <w:sz w:val="21"/>
          <w:szCs w:val="21"/>
        </w:rPr>
        <w:t>桩基的承载力，本工程使用带有远程实时监控功能的自动压浆机及智能控制系统，控制压浆量、配合比、流速、压力等参数，用5G网络将压浆数据及时上传至云端，实现对压浆过程的可视监控，后压浆技术可以使桩基承载力提高1.7倍以上。承台大体积混凝土浇筑应用数字化自动测温报警装置，当温度大于或小于设定值的时候就会发出报警，防止产生温度裂缝。各种智能化设备的使用使隐蔽工程施工由经验判断变为数据驱动，给桩基质量赋予了即时的、可追溯的保证。智能化手段也渗透到施工全过程的数据管理以及质量检验当中，成孔检测记录、混凝土灌注曲线、压浆参数等数据被自动保存下来，形成了一个完整的桩基施工质量档案，可以迅速找到问题所在，也能给今后的桩基检测以及运营期监测赋予最初的参照物。</w:t>
      </w:r>
    </w:p>
    <w:p w14:paraId="3D1EC77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3效果分析</w:t>
      </w:r>
    </w:p>
    <w:p w14:paraId="46046D56">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经过以上的工艺改进之后，在本工程主墩桩基施工中效率、质量、环保等各方面都取得了较好的效果。从成孔周期来讲，单根桩的成孔时间由原来的5～7天缩短到3～4天，效率提高很大，桩基合格率也由原来的95%-98%提高到现在的100%，全部为一类桩；从环保角度而言，泥浆由大量排放变为零排放，钻渣集中固化外运，大大减小了对水域环境的影响，从施工安全来讲，事故处理率由原来的5%-8%降到1%-2%，从经济角度来说，施工成本比基准值低15%左右。各项指标的对比如表1所示。</w:t>
      </w:r>
    </w:p>
    <w:p w14:paraId="689D6488">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表1施工工艺优化前后效果对比</w:t>
      </w:r>
    </w:p>
    <w:tbl>
      <w:tblPr>
        <w:tblStyle w:val="TableNormal"/>
        <w:tblW w:w="0" w:type="auto"/>
        <w:jc w:val="center"/>
        <w:tblCellMar>
          <w:top w:w="0" w:type="dxa"/>
          <w:left w:w="108" w:type="dxa"/>
          <w:bottom w:w="0" w:type="dxa"/>
          <w:right w:w="108" w:type="dxa"/>
        </w:tblCellMar>
      </w:tblPr>
      <w:tblGrid>
        <w:gridCol w:w="2096"/>
        <w:gridCol w:w="2155"/>
        <w:gridCol w:w="2135"/>
        <w:gridCol w:w="2136"/>
      </w:tblGrid>
      <w:tr w14:paraId="407D335C">
        <w:tblPrEx>
          <w:tblW w:w="0" w:type="auto"/>
          <w:jc w:val="center"/>
          <w:tblCellMar>
            <w:top w:w="0" w:type="dxa"/>
            <w:left w:w="108" w:type="dxa"/>
            <w:bottom w:w="0" w:type="dxa"/>
            <w:right w:w="108" w:type="dxa"/>
          </w:tblCellMar>
        </w:tblPrEx>
        <w:trPr>
          <w:cantSplit/>
          <w:tblHeader/>
          <w:jc w:val="center"/>
        </w:trPr>
        <w:tc>
          <w:tcPr>
            <w:tcW w:w="2268" w:type="dxa"/>
            <w:tcBorders>
              <w:top w:val="single" w:sz="8" w:space="0" w:color="000000"/>
              <w:left w:val="nil"/>
              <w:bottom w:val="single" w:sz="4" w:space="0" w:color="000000"/>
              <w:right w:val="nil"/>
            </w:tcBorders>
            <w:vAlign w:val="center"/>
          </w:tcPr>
          <w:p w14:paraId="473BFB7E">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评价指标</w:t>
            </w:r>
          </w:p>
        </w:tc>
        <w:tc>
          <w:tcPr>
            <w:tcW w:w="2268" w:type="dxa"/>
            <w:tcBorders>
              <w:top w:val="single" w:sz="8" w:space="0" w:color="000000"/>
              <w:left w:val="nil"/>
              <w:bottom w:val="single" w:sz="4" w:space="0" w:color="000000"/>
              <w:right w:val="nil"/>
            </w:tcBorders>
            <w:vAlign w:val="center"/>
          </w:tcPr>
          <w:p w14:paraId="6ED6EC6E">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优化前</w:t>
            </w:r>
          </w:p>
        </w:tc>
        <w:tc>
          <w:tcPr>
            <w:tcW w:w="2268" w:type="dxa"/>
            <w:tcBorders>
              <w:top w:val="single" w:sz="8" w:space="0" w:color="000000"/>
              <w:left w:val="nil"/>
              <w:bottom w:val="single" w:sz="4" w:space="0" w:color="000000"/>
              <w:right w:val="nil"/>
            </w:tcBorders>
            <w:vAlign w:val="center"/>
          </w:tcPr>
          <w:p w14:paraId="4F9E3574">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优化后</w:t>
            </w:r>
          </w:p>
        </w:tc>
        <w:tc>
          <w:tcPr>
            <w:tcW w:w="2268" w:type="dxa"/>
            <w:tcBorders>
              <w:top w:val="single" w:sz="8" w:space="0" w:color="000000"/>
              <w:left w:val="nil"/>
              <w:bottom w:val="single" w:sz="4" w:space="0" w:color="000000"/>
              <w:right w:val="nil"/>
            </w:tcBorders>
            <w:vAlign w:val="center"/>
          </w:tcPr>
          <w:p w14:paraId="57B4D00C">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改进效果</w:t>
            </w:r>
          </w:p>
        </w:tc>
      </w:tr>
      <w:tr w14:paraId="607788A7">
        <w:tblPrEx>
          <w:tblW w:w="0" w:type="auto"/>
          <w:jc w:val="center"/>
          <w:tblCellMar>
            <w:top w:w="0" w:type="dxa"/>
            <w:left w:w="108" w:type="dxa"/>
            <w:bottom w:w="0" w:type="dxa"/>
            <w:right w:w="108" w:type="dxa"/>
          </w:tblCellMar>
        </w:tblPrEx>
        <w:trPr>
          <w:cantSplit/>
          <w:jc w:val="center"/>
        </w:trPr>
        <w:tc>
          <w:tcPr>
            <w:tcW w:w="2268" w:type="dxa"/>
            <w:tcBorders>
              <w:top w:val="nil"/>
              <w:left w:val="nil"/>
              <w:bottom w:val="nil"/>
              <w:right w:val="nil"/>
            </w:tcBorders>
            <w:vAlign w:val="center"/>
          </w:tcPr>
          <w:p w14:paraId="2A88FF59">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单桩成孔时间</w:t>
            </w:r>
          </w:p>
        </w:tc>
        <w:tc>
          <w:tcPr>
            <w:tcW w:w="2268" w:type="dxa"/>
            <w:tcBorders>
              <w:top w:val="nil"/>
              <w:left w:val="nil"/>
              <w:bottom w:val="nil"/>
              <w:right w:val="nil"/>
            </w:tcBorders>
            <w:vAlign w:val="center"/>
          </w:tcPr>
          <w:p w14:paraId="03E776E7">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5</w:t>
            </w:r>
            <w:r>
              <w:rPr>
                <w:rFonts w:asciiTheme="minorEastAsia" w:hAnsiTheme="minorEastAsia" w:cstheme="minorEastAsia" w:hint="eastAsia"/>
                <w:b w:val="0"/>
                <w:color w:val="000000"/>
                <w:sz w:val="21"/>
                <w:szCs w:val="21"/>
                <w:lang w:eastAsia="zh-CN"/>
              </w:rPr>
              <w:t>—</w:t>
            </w:r>
            <w:r>
              <w:rPr>
                <w:rFonts w:asciiTheme="minorEastAsia" w:eastAsiaTheme="minorEastAsia" w:hAnsiTheme="minorEastAsia" w:cstheme="minorEastAsia" w:hint="eastAsia"/>
                <w:b w:val="0"/>
                <w:color w:val="000000"/>
                <w:sz w:val="21"/>
                <w:szCs w:val="21"/>
              </w:rPr>
              <w:t>7天</w:t>
            </w:r>
          </w:p>
        </w:tc>
        <w:tc>
          <w:tcPr>
            <w:tcW w:w="2268" w:type="dxa"/>
            <w:tcBorders>
              <w:top w:val="nil"/>
              <w:left w:val="nil"/>
              <w:bottom w:val="nil"/>
              <w:right w:val="nil"/>
            </w:tcBorders>
            <w:vAlign w:val="center"/>
          </w:tcPr>
          <w:p w14:paraId="5EE1ADE5">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hAnsiTheme="minorEastAsia" w:cstheme="minorEastAsia" w:hint="eastAsia"/>
                <w:b w:val="0"/>
                <w:color w:val="000000"/>
                <w:sz w:val="21"/>
                <w:szCs w:val="21"/>
                <w:lang w:eastAsia="zh-CN"/>
              </w:rPr>
              <w:t>3～4天</w:t>
            </w:r>
          </w:p>
        </w:tc>
        <w:tc>
          <w:tcPr>
            <w:tcW w:w="2268" w:type="dxa"/>
            <w:tcBorders>
              <w:top w:val="nil"/>
              <w:left w:val="nil"/>
              <w:bottom w:val="nil"/>
              <w:right w:val="nil"/>
            </w:tcBorders>
            <w:vAlign w:val="center"/>
          </w:tcPr>
          <w:p w14:paraId="39748857">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缩短40%以上</w:t>
            </w:r>
          </w:p>
        </w:tc>
      </w:tr>
      <w:tr w14:paraId="4F743D67">
        <w:tblPrEx>
          <w:tblW w:w="0" w:type="auto"/>
          <w:jc w:val="center"/>
          <w:tblCellMar>
            <w:top w:w="0" w:type="dxa"/>
            <w:left w:w="108" w:type="dxa"/>
            <w:bottom w:w="0" w:type="dxa"/>
            <w:right w:w="108" w:type="dxa"/>
          </w:tblCellMar>
        </w:tblPrEx>
        <w:trPr>
          <w:cantSplit/>
          <w:jc w:val="center"/>
        </w:trPr>
        <w:tc>
          <w:tcPr>
            <w:tcW w:w="2268" w:type="dxa"/>
            <w:tcBorders>
              <w:top w:val="nil"/>
              <w:left w:val="nil"/>
              <w:bottom w:val="nil"/>
              <w:right w:val="nil"/>
            </w:tcBorders>
            <w:vAlign w:val="center"/>
          </w:tcPr>
          <w:p w14:paraId="7AB7967F">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桩基合格率</w:t>
            </w:r>
          </w:p>
        </w:tc>
        <w:tc>
          <w:tcPr>
            <w:tcW w:w="2268" w:type="dxa"/>
            <w:tcBorders>
              <w:top w:val="nil"/>
              <w:left w:val="nil"/>
              <w:bottom w:val="nil"/>
              <w:right w:val="nil"/>
            </w:tcBorders>
            <w:vAlign w:val="center"/>
          </w:tcPr>
          <w:p w14:paraId="1FEBA903">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hAnsiTheme="minorEastAsia" w:cstheme="minorEastAsia" w:hint="eastAsia"/>
                <w:b w:val="0"/>
                <w:color w:val="000000"/>
                <w:sz w:val="21"/>
                <w:szCs w:val="21"/>
                <w:lang w:eastAsia="zh-CN"/>
              </w:rPr>
              <w:t>95%—98%</w:t>
            </w:r>
          </w:p>
        </w:tc>
        <w:tc>
          <w:tcPr>
            <w:tcW w:w="2268" w:type="dxa"/>
            <w:tcBorders>
              <w:top w:val="nil"/>
              <w:left w:val="nil"/>
              <w:bottom w:val="nil"/>
              <w:right w:val="nil"/>
            </w:tcBorders>
            <w:vAlign w:val="center"/>
          </w:tcPr>
          <w:p w14:paraId="5829D1ED">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100%</w:t>
            </w:r>
          </w:p>
        </w:tc>
        <w:tc>
          <w:tcPr>
            <w:tcW w:w="2268" w:type="dxa"/>
            <w:tcBorders>
              <w:top w:val="nil"/>
              <w:left w:val="nil"/>
              <w:bottom w:val="nil"/>
              <w:right w:val="nil"/>
            </w:tcBorders>
            <w:vAlign w:val="center"/>
          </w:tcPr>
          <w:p w14:paraId="23D52A38">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提高</w:t>
            </w:r>
            <w:r>
              <w:rPr>
                <w:rFonts w:asciiTheme="minorEastAsia" w:hAnsiTheme="minorEastAsia" w:cstheme="minorEastAsia" w:hint="eastAsia"/>
                <w:b w:val="0"/>
                <w:color w:val="000000"/>
                <w:sz w:val="21"/>
                <w:szCs w:val="21"/>
                <w:lang w:eastAsia="zh-CN"/>
              </w:rPr>
              <w:t>2%—5%</w:t>
            </w:r>
          </w:p>
        </w:tc>
      </w:tr>
      <w:tr w14:paraId="15F85F12">
        <w:tblPrEx>
          <w:tblW w:w="0" w:type="auto"/>
          <w:jc w:val="center"/>
          <w:tblCellMar>
            <w:top w:w="0" w:type="dxa"/>
            <w:left w:w="108" w:type="dxa"/>
            <w:bottom w:w="0" w:type="dxa"/>
            <w:right w:w="108" w:type="dxa"/>
          </w:tblCellMar>
        </w:tblPrEx>
        <w:trPr>
          <w:cantSplit/>
          <w:jc w:val="center"/>
        </w:trPr>
        <w:tc>
          <w:tcPr>
            <w:tcW w:w="2268" w:type="dxa"/>
            <w:tcBorders>
              <w:top w:val="nil"/>
              <w:left w:val="nil"/>
              <w:bottom w:val="nil"/>
              <w:right w:val="nil"/>
            </w:tcBorders>
            <w:vAlign w:val="center"/>
          </w:tcPr>
          <w:p w14:paraId="41B63515">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泥浆排放量</w:t>
            </w:r>
          </w:p>
        </w:tc>
        <w:tc>
          <w:tcPr>
            <w:tcW w:w="2268" w:type="dxa"/>
            <w:tcBorders>
              <w:top w:val="nil"/>
              <w:left w:val="nil"/>
              <w:bottom w:val="nil"/>
              <w:right w:val="nil"/>
            </w:tcBorders>
            <w:vAlign w:val="center"/>
          </w:tcPr>
          <w:p w14:paraId="787F8224">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大量排放</w:t>
            </w:r>
          </w:p>
        </w:tc>
        <w:tc>
          <w:tcPr>
            <w:tcW w:w="2268" w:type="dxa"/>
            <w:tcBorders>
              <w:top w:val="nil"/>
              <w:left w:val="nil"/>
              <w:bottom w:val="nil"/>
              <w:right w:val="nil"/>
            </w:tcBorders>
            <w:vAlign w:val="center"/>
          </w:tcPr>
          <w:p w14:paraId="3AE6B0D2">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零排放</w:t>
            </w:r>
          </w:p>
        </w:tc>
        <w:tc>
          <w:tcPr>
            <w:tcW w:w="2268" w:type="dxa"/>
            <w:tcBorders>
              <w:top w:val="nil"/>
              <w:left w:val="nil"/>
              <w:bottom w:val="nil"/>
              <w:right w:val="nil"/>
            </w:tcBorders>
            <w:vAlign w:val="center"/>
          </w:tcPr>
          <w:p w14:paraId="3D6F6DF1">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显著减少</w:t>
            </w:r>
          </w:p>
        </w:tc>
      </w:tr>
      <w:tr w14:paraId="5A58C4F3">
        <w:tblPrEx>
          <w:tblW w:w="0" w:type="auto"/>
          <w:jc w:val="center"/>
          <w:tblCellMar>
            <w:top w:w="0" w:type="dxa"/>
            <w:left w:w="108" w:type="dxa"/>
            <w:bottom w:w="0" w:type="dxa"/>
            <w:right w:w="108" w:type="dxa"/>
          </w:tblCellMar>
        </w:tblPrEx>
        <w:trPr>
          <w:cantSplit/>
          <w:jc w:val="center"/>
        </w:trPr>
        <w:tc>
          <w:tcPr>
            <w:tcW w:w="2268" w:type="dxa"/>
            <w:tcBorders>
              <w:top w:val="nil"/>
              <w:left w:val="nil"/>
              <w:bottom w:val="nil"/>
              <w:right w:val="nil"/>
            </w:tcBorders>
            <w:vAlign w:val="center"/>
          </w:tcPr>
          <w:p w14:paraId="1D69761E">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事故处理率</w:t>
            </w:r>
          </w:p>
        </w:tc>
        <w:tc>
          <w:tcPr>
            <w:tcW w:w="2268" w:type="dxa"/>
            <w:tcBorders>
              <w:top w:val="nil"/>
              <w:left w:val="nil"/>
              <w:bottom w:val="nil"/>
              <w:right w:val="nil"/>
            </w:tcBorders>
            <w:vAlign w:val="center"/>
          </w:tcPr>
          <w:p w14:paraId="52C1A916">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hAnsiTheme="minorEastAsia" w:cstheme="minorEastAsia" w:hint="eastAsia"/>
                <w:b w:val="0"/>
                <w:color w:val="000000"/>
                <w:sz w:val="21"/>
                <w:szCs w:val="21"/>
                <w:lang w:eastAsia="zh-CN"/>
              </w:rPr>
              <w:t>5%—8%</w:t>
            </w:r>
          </w:p>
        </w:tc>
        <w:tc>
          <w:tcPr>
            <w:tcW w:w="2268" w:type="dxa"/>
            <w:tcBorders>
              <w:top w:val="nil"/>
              <w:left w:val="nil"/>
              <w:bottom w:val="nil"/>
              <w:right w:val="nil"/>
            </w:tcBorders>
            <w:vAlign w:val="center"/>
          </w:tcPr>
          <w:p w14:paraId="684B35DA">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hAnsiTheme="minorEastAsia" w:cstheme="minorEastAsia" w:hint="eastAsia"/>
                <w:b w:val="0"/>
                <w:color w:val="000000"/>
                <w:sz w:val="21"/>
                <w:szCs w:val="21"/>
                <w:lang w:eastAsia="zh-CN"/>
              </w:rPr>
              <w:t>1%—2%</w:t>
            </w:r>
          </w:p>
        </w:tc>
        <w:tc>
          <w:tcPr>
            <w:tcW w:w="2268" w:type="dxa"/>
            <w:tcBorders>
              <w:top w:val="nil"/>
              <w:left w:val="nil"/>
              <w:bottom w:val="nil"/>
              <w:right w:val="nil"/>
            </w:tcBorders>
            <w:vAlign w:val="center"/>
          </w:tcPr>
          <w:p w14:paraId="44B4A648">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降低60%以上</w:t>
            </w:r>
          </w:p>
        </w:tc>
      </w:tr>
      <w:tr w14:paraId="79DAE766">
        <w:tblPrEx>
          <w:tblW w:w="0" w:type="auto"/>
          <w:jc w:val="center"/>
          <w:tblCellMar>
            <w:top w:w="0" w:type="dxa"/>
            <w:left w:w="108" w:type="dxa"/>
            <w:bottom w:w="0" w:type="dxa"/>
            <w:right w:w="108" w:type="dxa"/>
          </w:tblCellMar>
        </w:tblPrEx>
        <w:trPr>
          <w:cantSplit/>
          <w:jc w:val="center"/>
        </w:trPr>
        <w:tc>
          <w:tcPr>
            <w:tcW w:w="2268" w:type="dxa"/>
            <w:tcBorders>
              <w:top w:val="nil"/>
              <w:left w:val="nil"/>
              <w:bottom w:val="single" w:sz="8" w:space="0" w:color="000000"/>
              <w:right w:val="nil"/>
            </w:tcBorders>
            <w:vAlign w:val="center"/>
          </w:tcPr>
          <w:p w14:paraId="68FE2478">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施工成本</w:t>
            </w:r>
          </w:p>
        </w:tc>
        <w:tc>
          <w:tcPr>
            <w:tcW w:w="2268" w:type="dxa"/>
            <w:tcBorders>
              <w:top w:val="nil"/>
              <w:left w:val="nil"/>
              <w:bottom w:val="single" w:sz="8" w:space="0" w:color="000000"/>
              <w:right w:val="nil"/>
            </w:tcBorders>
            <w:vAlign w:val="center"/>
          </w:tcPr>
          <w:p w14:paraId="410454EF">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基准</w:t>
            </w:r>
          </w:p>
        </w:tc>
        <w:tc>
          <w:tcPr>
            <w:tcW w:w="2268" w:type="dxa"/>
            <w:tcBorders>
              <w:top w:val="nil"/>
              <w:left w:val="nil"/>
              <w:bottom w:val="single" w:sz="8" w:space="0" w:color="000000"/>
              <w:right w:val="nil"/>
            </w:tcBorders>
            <w:vAlign w:val="center"/>
          </w:tcPr>
          <w:p w14:paraId="4825DBD5">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节约15%</w:t>
            </w:r>
          </w:p>
        </w:tc>
        <w:tc>
          <w:tcPr>
            <w:tcW w:w="2268" w:type="dxa"/>
            <w:tcBorders>
              <w:top w:val="nil"/>
              <w:left w:val="nil"/>
              <w:bottom w:val="single" w:sz="8" w:space="0" w:color="000000"/>
              <w:right w:val="nil"/>
            </w:tcBorders>
            <w:vAlign w:val="center"/>
          </w:tcPr>
          <w:p w14:paraId="75A41D52">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显著降低</w:t>
            </w:r>
          </w:p>
        </w:tc>
      </w:tr>
    </w:tbl>
    <w:p w14:paraId="44283F34">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工艺优化不是某一个环节的提高，而是组织流程、关键工序以及智能化手段三者共同作用的结果，分区平行作业缩短了工期，多个工艺改进保证了成桩质量，泥浆循环以及智能监控二者兼顾环保和可追溯性。施工区各施工区设备利用率比传统的施工组织方式有明显提高，钻孔、钢筋笼安装和混凝土灌注这三个作业之间的时间间隔变短了，人员及机械的投入方式也更加集约化，对同类超大直径深孔灌注桩施工具有很强的可复制性。</w:t>
      </w:r>
    </w:p>
    <w:p w14:paraId="4A53D72D">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结语</w:t>
      </w:r>
    </w:p>
    <w:p w14:paraId="0ADA9527">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大跨度桥梁主墩超深大直径钻孔灌注桩施工存在工序多、隐蔽性强、环境约束严等特点，本文采用分区施</w:t>
      </w:r>
      <w:r>
        <w:rPr>
          <w:rFonts w:asciiTheme="minorEastAsia" w:hAnsiTheme="minorEastAsia" w:cstheme="minorEastAsia" w:hint="eastAsia"/>
          <w:sz w:val="21"/>
          <w:szCs w:val="21"/>
          <w:lang w:eastAsia="zh-CN"/>
        </w:rPr>
        <w:t>工</w:t>
      </w:r>
      <w:r>
        <w:rPr>
          <w:rFonts w:asciiTheme="minorEastAsia" w:eastAsiaTheme="minorEastAsia" w:hAnsiTheme="minorEastAsia" w:cstheme="minorEastAsia" w:hint="eastAsia"/>
          <w:sz w:val="21"/>
          <w:szCs w:val="21"/>
        </w:rPr>
        <w:t>、平行作业的方式进</w:t>
      </w:r>
      <w:r>
        <w:rPr>
          <w:rFonts w:asciiTheme="minorEastAsia" w:hAnsiTheme="minorEastAsia" w:cstheme="minorEastAsia" w:hint="eastAsia"/>
          <w:sz w:val="21"/>
          <w:szCs w:val="21"/>
          <w:lang w:eastAsia="zh-CN"/>
        </w:rPr>
        <w:t>行</w:t>
      </w:r>
      <w:r>
        <w:rPr>
          <w:rFonts w:asciiTheme="minorEastAsia" w:eastAsiaTheme="minorEastAsia" w:hAnsiTheme="minorEastAsia" w:cstheme="minorEastAsia" w:hint="eastAsia"/>
          <w:sz w:val="21"/>
          <w:szCs w:val="21"/>
        </w:rPr>
        <w:t>组织优化，钢护筒精确插打、组合成孔、泥浆循环、钢筋笼快速安装、水下混凝土智能灌注等措施的采用，同时使用BIM模拟、智能后压浆等数字化方法，可以形成比较完整的工艺。实践证明，在保证一类桩质量的基础上施工效率得到了明显的提高，泥浆做到了零排放并且成本也大大降低，工艺优化对于复杂地质大型桩基施工有重要的实际意义，也可以给同类型的桥梁基础施工提供借鉴。</w:t>
      </w:r>
    </w:p>
    <w:p w14:paraId="061FDA97">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参考文献：</w:t>
      </w:r>
    </w:p>
    <w:p w14:paraId="6FC2C44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[1]刘欢欢.大跨度桥梁桩基钻孔灌注桩施工工艺优化[J].交通世界,2026,(10):117-119.</w:t>
      </w:r>
    </w:p>
    <w:p w14:paraId="7FD9B42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[2]梁洋.钻孔灌注桩在复杂地质条件下的桥梁桩基施工应用分析[J].中国水泥,2025,(6):113-115.</w:t>
      </w:r>
    </w:p>
    <w:p w14:paraId="13A5A30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[3]蒋任亮.桥梁桩基工程中的钻孔灌注桩施工及其控制研究[J].运输经理世界,2025,(1):72-74.</w:t>
      </w:r>
    </w:p>
    <w:p w14:paraId="200F4472">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[4]兰红伟,祁东.桥梁桩基钻孔灌注桩施工技术应用分析[J].运输经理世界,2024,(18):72-74.</w:t>
      </w:r>
    </w:p>
    <w:p w14:paraId="4D227FA1">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asciiTheme="minorEastAsia" w:eastAsiaTheme="minorEastAsia" w:hAnsiTheme="minorEastAsia" w:cstheme="minorEastAsia" w:hint="eastAsia"/>
          <w:sz w:val="21"/>
          <w:szCs w:val="21"/>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4F65B3"/>
    <w:rsid w:val="0ABA7103"/>
    <w:rsid w:val="0C0D2B91"/>
    <w:rsid w:val="1F092A5B"/>
    <w:rsid w:val="310C402A"/>
    <w:rsid w:val="38D83FB2"/>
    <w:rsid w:val="42F22EF6"/>
    <w:rsid w:val="52DD642D"/>
    <w:rsid w:val="67D43D2A"/>
    <w:rsid w:val="68EB66C8"/>
    <w:rsid w:val="6B901035"/>
    <w:rsid w:val="6E2C421A"/>
    <w:rsid w:val="7E7903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TotalTime>
  <Pages>6</Pages>
  <Words>1263</Words>
  <Characters>1308</Characters>
  <Application>Microsoft Office Word</Application>
  <DocSecurity>0</DocSecurity>
  <Lines>0</Lines>
  <Paragraphs>0</Paragraphs>
  <ScaleCrop>false</ScaleCrop>
  <Company/>
  <LinksUpToDate>false</LinksUpToDate>
  <CharactersWithSpaces>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2026-11-03T04:12:43Z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