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A6FE129">
      <w:pPr>
        <w:keepNext w:val="0"/>
        <w:keepLines w:val="0"/>
        <w:pageBreakBefore w:val="0"/>
        <w:kinsoku/>
        <w:wordWrap/>
        <w:overflowPunct/>
        <w:topLinePunct w:val="0"/>
        <w:autoSpaceDE/>
        <w:autoSpaceDN/>
        <w:bidi w:val="0"/>
        <w:adjustRightInd/>
        <w:snapToGrid/>
        <w:ind w:firstLine="420" w:firstLineChars="200"/>
        <w:jc w:val="center"/>
        <w:textAlignment w:val="auto"/>
        <w:rPr>
          <w:rFonts w:ascii="宋体" w:eastAsia="宋体" w:hAnsi="宋体" w:cs="宋体" w:hint="eastAsia"/>
          <w:b/>
          <w:bCs/>
          <w:sz w:val="21"/>
          <w:szCs w:val="21"/>
        </w:rPr>
      </w:pPr>
      <w:r>
        <w:rPr>
          <w:rFonts w:ascii="宋体" w:eastAsia="宋体" w:hAnsi="宋体" w:cs="宋体" w:hint="eastAsia"/>
          <w:b/>
          <w:bCs/>
          <w:sz w:val="21"/>
          <w:szCs w:val="21"/>
        </w:rPr>
        <w:t>业财一体化下财务共享服务中心绩效评价体系重构与应用研究</w:t>
      </w:r>
    </w:p>
    <w:p w14:paraId="36A94ABA">
      <w:pPr>
        <w:keepNext w:val="0"/>
        <w:keepLines w:val="0"/>
        <w:pageBreakBefore w:val="0"/>
        <w:kinsoku/>
        <w:wordWrap/>
        <w:overflowPunct/>
        <w:topLinePunct w:val="0"/>
        <w:autoSpaceDE/>
        <w:autoSpaceDN/>
        <w:bidi w:val="0"/>
        <w:adjustRightInd/>
        <w:snapToGrid/>
        <w:ind w:firstLine="420" w:firstLineChars="200"/>
        <w:jc w:val="center"/>
        <w:textAlignment w:val="auto"/>
        <w:rPr>
          <w:rFonts w:ascii="宋体" w:eastAsia="宋体" w:hAnsi="宋体" w:cs="宋体" w:hint="eastAsia"/>
          <w:b/>
          <w:bCs/>
          <w:sz w:val="21"/>
          <w:szCs w:val="21"/>
        </w:rPr>
      </w:pPr>
      <w:r>
        <w:rPr>
          <w:rFonts w:ascii="宋体" w:eastAsia="宋体" w:hAnsi="宋体" w:cs="宋体" w:hint="eastAsia"/>
          <w:b/>
          <w:bCs/>
          <w:sz w:val="21"/>
          <w:szCs w:val="21"/>
        </w:rPr>
        <w:t>——以S省烟草公司为例</w:t>
      </w:r>
    </w:p>
    <w:p w14:paraId="10DAD532">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一、研究目的（背景及意义）</w:t>
      </w:r>
    </w:p>
    <w:p w14:paraId="046E917E">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1.理论意义</w:t>
      </w:r>
    </w:p>
    <w:p w14:paraId="012344EB">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现有的财务共享服务绩效评价研究大多以核算集中处理阶段的组织形式为依托，其指标的设计是以单据处理速</w:t>
      </w:r>
      <w:bookmarkStart w:id="0" w:name="_GoBack"/>
      <w:bookmarkEnd w:id="0"/>
      <w:r>
        <w:rPr>
          <w:rFonts w:ascii="宋体" w:eastAsia="宋体" w:hAnsi="宋体" w:cs="宋体" w:hint="eastAsia"/>
          <w:sz w:val="21"/>
          <w:szCs w:val="21"/>
        </w:rPr>
        <w:t>度、作业差错率、人均单量等交易性产出为主要的观测指标，在S省烟草公司财务数据共享与服务中心“多元共享、虚拟集中”的组织设计方案中包含了共享核算组、资金管理组、数据治理组、综合管理组和管理会计组这五个部门，职能边界从交易处理向数据治理、决策支持以及风险控制拓展。</w:t>
      </w:r>
    </w:p>
    <w:p w14:paraId="0A9C42D0">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本</w:t>
      </w:r>
      <w:r>
        <w:rPr>
          <w:rFonts w:ascii="宋体" w:eastAsia="宋体" w:hAnsi="宋体" w:cs="宋体" w:hint="eastAsia"/>
          <w:sz w:val="21"/>
          <w:szCs w:val="21"/>
          <w:lang w:val="en-US" w:eastAsia="zh-CN"/>
        </w:rPr>
        <w:t>课题</w:t>
      </w:r>
      <w:r>
        <w:rPr>
          <w:rFonts w:ascii="宋体" w:eastAsia="宋体" w:hAnsi="宋体" w:cs="宋体" w:hint="eastAsia"/>
          <w:sz w:val="21"/>
          <w:szCs w:val="21"/>
        </w:rPr>
        <w:t>把绩效评价的观测对象从“作业任务”扩大到“价值创造”，将数据治理成效、业财协同程度、决策采纳率等不能直接计量的指标纳入评价体系，重新定义共享中心在业财一体化环境里绩效产生的机制，“绩效不再只是效率决定的，而更多是共享中心提供的数据资产质量以及被业务、管理环节调用之后所产生的决策增量决定的”，因此给烟草商业企业场景下的“效率导向”和“价值导向”张力提供实践的解释。</w:t>
      </w:r>
    </w:p>
    <w:p w14:paraId="22E648E3">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2.实践价值</w:t>
      </w:r>
    </w:p>
    <w:p w14:paraId="5EF45DBC">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S省烟草公司财务数据共享与服务中心在济宁、烟台市局（公司）已开展试点运行，泰安、威海市局（公司）完成初步体系匹配工作，系统内设置报销业务风险稽核规则429个，日常费用约65%可以做到预算自动填报，车辆管理实行一车一账数字台账，实现各级次的全穿透。</w:t>
      </w:r>
    </w:p>
    <w:p w14:paraId="60E8B6D2">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本研究有三个方面的实践意义，给S省烟草公司提出一套可以落地的分岗位、分职能绩效评价体系，使数据治理组和管理会计组的价值可以衡量、可比较、可激励，为该中心从“能用”到“好用、实用”的转变提供管理抓手，把评价结果当作流程优化和岗位调整的决策依据，也给行业内其他省级商业企业共享中心转型期间同级创建绩效评价体系赋予了参照样本。国家局要求有条件的企业直接创建省级财务共享平台，推进共享中心由核算共享走向多领域共享，对于这样的样本的推广有现实基础。</w:t>
      </w:r>
    </w:p>
    <w:p w14:paraId="10AA1EB6">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二、研究内容</w:t>
      </w:r>
    </w:p>
    <w:p w14:paraId="7114E670">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1.研究思路及框架</w:t>
      </w:r>
    </w:p>
    <w:p w14:paraId="4B3059F7">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本文以职能结构的变动、绩效维度的重塑、实证检验和方案的产生这四个阶段的思路为主线进行研究。职能结构变化是起点，根据五个组并行的组织方案和标准管控中心、业财融合中心、数据服务中心、人才培养中心四个中心的功能定位，找出各组绩效产生逻辑的不同，从而确定目前五维框架是否覆盖全面。绩效维度重构为主，保留了作业层指标的基础上，加入数据治理效果、业财协同深度、决策支持采纳率、知识沉淀和复用等价值指标，创建分层分类的绩效评价指标体系。实证检验为依据，用试点单位运行数据来确定指标权重，并检验评价结果是否可以区分。方案产出就是最终的成果，即各个岗位绩效考核方案及配套的运行细则。</w:t>
      </w:r>
    </w:p>
    <w:p w14:paraId="40E02B5D">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框架可以归纳为三层，目标层给出共享中心所要产出的绩效指标，准则层给出各个职能小组绩效指标的构成维度，指标层给出各个维度的可观察指标，权重怎么确定，数据从哪里来。</w:t>
      </w:r>
    </w:p>
    <w:p w14:paraId="6E4446DB">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2.研究重点</w:t>
      </w:r>
    </w:p>
    <w:p w14:paraId="36170D70">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其一，由于职能不同所导致的评价维度有层次。共享核算组仍然以作业效率、质量为中心，数据治理组以主数据标准执行率、数据质量规则命中率、数据资产目录完整性、数据服务响应时间等为考核指标，管理会计组主要对经营分析报告的采纳率、预算编制的准确度以及决策支持事项的落实情况进行观测。分层设计重要之处在于不能用一把尺子去衡量性质不同的劳动。</w:t>
      </w:r>
    </w:p>
    <w:p w14:paraId="71498624">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第二，价值层指标的量化路线。数据治理成果和决策支撑的效果不能被衡量，本文从S省烟草公司财务决策支持分析指标体系以及风控稽核规则运行记录入手，利用规则命中率、指标调用频率、分析报告采纳率、数据回流使用率等可以被采集的数据作为价值层指标的替代观测，减少主观打分所占的比例。</w:t>
      </w:r>
    </w:p>
    <w:p w14:paraId="5C189758">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第三，权重的确定以及结果的检验。采用层次分析法与熵值法相结合的方式进行赋权，用试点单位的运行数据来检验评价结果能否较好地区分各个组别的绩效差异以及各个岗位的绩效差异。</w:t>
      </w:r>
    </w:p>
    <w:p w14:paraId="0AADD5EB">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3.预期目标</w:t>
      </w:r>
    </w:p>
    <w:p w14:paraId="47F36396">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lang w:val="en-US" w:eastAsia="zh-CN"/>
        </w:rPr>
        <w:t>3.1</w:t>
      </w:r>
      <w:r>
        <w:rPr>
          <w:rFonts w:ascii="宋体" w:eastAsia="宋体" w:hAnsi="宋体" w:cs="宋体" w:hint="eastAsia"/>
          <w:sz w:val="21"/>
          <w:szCs w:val="21"/>
        </w:rPr>
        <w:t>构建分职能绩效评价指标体系：</w:t>
      </w:r>
      <w:r>
        <w:rPr>
          <w:rFonts w:ascii="宋体" w:eastAsia="宋体" w:hAnsi="宋体" w:cs="宋体" w:hint="eastAsia"/>
          <w:sz w:val="21"/>
          <w:szCs w:val="21"/>
        </w:rPr>
        <w:t>以S省烟草公司共享核算、资金管理、数据治理、综合管理、管理会计五个组别为基础，在保持作业层效率质量指标的基础上加入数据治理成果、业财协同深度这些价值层指标，创建包含五个组别、分层清晰、可获取数据的绩效评价指标体系，解决现有五维框架对于新型岗位缺少覆盖的问题。</w:t>
      </w:r>
    </w:p>
    <w:p w14:paraId="6514FF3C">
      <w:pPr>
        <w:keepNext w:val="0"/>
        <w:keepLines w:val="0"/>
        <w:pageBreakBefore w:val="0"/>
        <w:numPr>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lang w:val="en-US" w:eastAsia="zh-CN"/>
        </w:rPr>
        <w:t>3.2</w:t>
      </w:r>
      <w:r>
        <w:rPr>
          <w:rFonts w:ascii="宋体" w:eastAsia="宋体" w:hAnsi="宋体" w:cs="宋体" w:hint="eastAsia"/>
          <w:sz w:val="21"/>
          <w:szCs w:val="21"/>
        </w:rPr>
        <w:t>输出可落地的绩效评价方案与运行细则：</w:t>
      </w:r>
      <w:r>
        <w:rPr>
          <w:rFonts w:ascii="宋体" w:eastAsia="宋体" w:hAnsi="宋体" w:cs="宋体" w:hint="eastAsia"/>
          <w:sz w:val="21"/>
          <w:szCs w:val="21"/>
        </w:rPr>
        <w:t>设计岗位绩效评价方案，确定评价结果在岗位配置、流程改进以及激励分配方面的作用规则，帮助S省烟草公司共享中心实现从“能用”到“好用、实用”的转变，给行业内其他企业提供可以参照的操作样本。</w:t>
      </w:r>
    </w:p>
    <w:p w14:paraId="2FC69BB2">
      <w:pPr>
        <w:keepNext w:val="0"/>
        <w:keepLines w:val="0"/>
        <w:pageBreakBefore w:val="0"/>
        <w:numPr>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4.已有工作基础</w:t>
      </w:r>
    </w:p>
    <w:p w14:paraId="5DF5F928">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S省烟草公司已经取得的研究成果可以直接支撑本研究，研究报告包含了顶层设计、组织架构及岗位设置、标准体系、信息系统功能、数据治理、运营管理六个模块的设计工作，调研报告涉及22个单位，原始资料超过11万字，问卷分析从579份问卷中得出结论，190项分析指标体系逐一给出统计口径和计算公式，对省、市、县三级的组织架构及岗位设置与职责进行了规定。技术报告对绩效管理五大维度的评价、双重考核模式、定量与定性指标计分方式做了设计，对质量管理建立了每人工作量的10%以上的稽核日常操作标准，对信用管理建立了A到E五个等级的信用积分规则。以上材料就是指标提取和数据收集的主要来源。</w:t>
      </w:r>
    </w:p>
    <w:p w14:paraId="27D8BF76">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5.技术路线</w:t>
      </w:r>
    </w:p>
    <w:p w14:paraId="631173CE">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文献梳理及政策分析→职能结构拆解并找到绩效产生的原因→发现已有框架的缺失→分层分类指标池搭建→专家论证及指标筛选→组合赋权→试点数据实证检验→评价方案及运行细则的生成。各环节有反馈回路，指标筛选、赋权的结果若不能通过实证检验来区分，则将指标池重新调整。</w:t>
      </w:r>
    </w:p>
    <w:p w14:paraId="01047BF1">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6.研究方法</w:t>
      </w:r>
    </w:p>
    <w:p w14:paraId="64A0636F">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文献研究法是整理共享服务绩效评价和数据驱动型组织评价的理论基础，案例研究法选取S省烟草公司作为单案例，从组织设计方案、岗位职责及运行记录入手做详细的分析，德尔菲法用来筛选指标并进行专家论证，层次分析法与熵值法用来组合赋权，统计分析法来检验评价结果的区分度和稳定性，实地调研及访谈主要获取岗位职责、作业记录、管理人员判断等第一手资料。</w:t>
      </w:r>
    </w:p>
    <w:p w14:paraId="7E1B92D6">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三、拟突破难点</w:t>
      </w:r>
    </w:p>
    <w:p w14:paraId="516CD64C">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1.研究难点</w:t>
      </w:r>
    </w:p>
    <w:p w14:paraId="22034923">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价值层指标可得、可比性是第一大难点。数据治理效果没有现成的计量方法，完全依靠主观评分会降低效度，过于依靠系统日志会偏离管理的本质。采用代理变量加专家审核双管齐下的方式，用可以采集的系统数据来建立代理指标，再用专家来检验代理指标与管理意图是否一致。</w:t>
      </w:r>
    </w:p>
    <w:p w14:paraId="56470D50">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不同职能组别的绩效可比性是另一个难题。共享核算组和数据治理组的工作性质不同，统一的权重容易造成某一个组别系统性过高或者过低。本研究采取的是“同层可比、跨层折算”的处理方式，作业层、价值层按顺序排列，跨层比较的时候加上难度系数折算，具体的系数经由专家论证和试点数据校准来决定。</w:t>
      </w:r>
    </w:p>
    <w:p w14:paraId="3BE9558C">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2.创新点</w:t>
      </w:r>
    </w:p>
    <w:p w14:paraId="6B2A9901">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本课题的创新之处在于从S省烟草公司财务数据共享服务中心“多元共享、虚拟集中”的模式出发，以共享核算、资金管理、数据治理、综合管理和管理会计五组并行的组织设计方案为基础，将绩效评价单元从共享中心整体下放到了各个职能组，使得数据治理组和管理会计组的贡献有独立的观测位置；利用该中心190项财务决策支持分析指标体系和429项报销业务风控稽核规则运行情况建立规则命中率、指标调用次数、分析报告采纳率等代理变量，取代以往以服务满意度衡量价值贡献的做法；将组合赋权和“同层可比、跨层折算”的方法结合起来解决多职能并行组织评价可比性问题，并提出具体改进的五维绩效评价框架。</w:t>
      </w:r>
    </w:p>
    <w:p w14:paraId="7C3FB4B0">
      <w:pPr>
        <w:keepNext w:val="0"/>
        <w:keepLines w:val="0"/>
        <w:pageBreakBefore w:val="0"/>
        <w:kinsoku/>
        <w:wordWrap/>
        <w:overflowPunct/>
        <w:topLinePunct w:val="0"/>
        <w:autoSpaceDE/>
        <w:autoSpaceDN/>
        <w:bidi w:val="0"/>
        <w:adjustRightInd/>
        <w:snapToGrid/>
        <w:textAlignment w:val="auto"/>
        <w:rPr>
          <w:rFonts w:ascii="宋体" w:eastAsia="宋体" w:hAnsi="宋体" w:cs="宋体" w:hint="eastAsia"/>
          <w:sz w:val="21"/>
          <w:szCs w:val="21"/>
          <w:lang w:val="en-US" w:eastAsia="zh-CN"/>
        </w:rPr>
      </w:pPr>
    </w:p>
    <w:tbl>
      <w:tblPr>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
      <w:tblGrid>
        <w:gridCol w:w="2130"/>
        <w:gridCol w:w="1448"/>
        <w:gridCol w:w="4968"/>
      </w:tblGrid>
      <w:tr w14:paraId="21CE5A40">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Ex>
        <w:trPr>
          <w:tblHeader/>
        </w:trPr>
        <w:tc>
          <w:tcPr>
            <w:tcW w:w="0" w:type="auto"/>
            <w:tcBorders>
              <w:top w:val="single" w:sz="4" w:space="0" w:color="CCCCCC"/>
              <w:left w:val="single" w:sz="4" w:space="0" w:color="CCCCCC"/>
              <w:bottom w:val="single" w:sz="4" w:space="0" w:color="CCCCCC"/>
              <w:right w:val="single" w:sz="4" w:space="0" w:color="CCCCCC"/>
            </w:tcBorders>
            <w:shd w:val="clear" w:color="auto" w:fill="auto"/>
            <w:tcMar>
              <w:top w:w="120" w:type="dxa"/>
              <w:left w:w="120" w:type="dxa"/>
              <w:bottom w:w="120" w:type="dxa"/>
              <w:right w:w="120" w:type="dxa"/>
            </w:tcMar>
            <w:vAlign w:val="center"/>
          </w:tcPr>
          <w:p w14:paraId="43C97651">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b/>
                <w:bCs/>
                <w:sz w:val="21"/>
                <w:szCs w:val="21"/>
              </w:rPr>
            </w:pPr>
            <w:r>
              <w:rPr>
                <w:rFonts w:ascii="宋体" w:eastAsia="宋体" w:hAnsi="宋体" w:cs="宋体" w:hint="eastAsia"/>
                <w:b/>
                <w:bCs/>
                <w:kern w:val="0"/>
                <w:sz w:val="21"/>
                <w:szCs w:val="21"/>
                <w:bdr w:val="none" w:sz="0" w:space="0" w:color="auto"/>
                <w:lang w:val="en-US" w:eastAsia="zh-CN" w:bidi="ar"/>
              </w:rPr>
              <w:t>时间</w:t>
            </w:r>
          </w:p>
        </w:tc>
        <w:tc>
          <w:tcPr>
            <w:tcW w:w="0" w:type="auto"/>
            <w:tcBorders>
              <w:top w:val="single" w:sz="4" w:space="0" w:color="CCCCCC"/>
              <w:left w:val="single" w:sz="4" w:space="0" w:color="CCCCCC"/>
              <w:bottom w:val="single" w:sz="4" w:space="0" w:color="CCCCCC"/>
              <w:right w:val="single" w:sz="4" w:space="0" w:color="CCCCCC"/>
            </w:tcBorders>
            <w:shd w:val="clear" w:color="auto" w:fill="auto"/>
            <w:tcMar>
              <w:top w:w="120" w:type="dxa"/>
              <w:left w:w="120" w:type="dxa"/>
              <w:bottom w:w="120" w:type="dxa"/>
              <w:right w:w="120" w:type="dxa"/>
            </w:tcMar>
            <w:vAlign w:val="center"/>
          </w:tcPr>
          <w:p w14:paraId="117A263C">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b/>
                <w:bCs/>
                <w:sz w:val="21"/>
                <w:szCs w:val="21"/>
              </w:rPr>
            </w:pPr>
            <w:r>
              <w:rPr>
                <w:rFonts w:ascii="宋体" w:eastAsia="宋体" w:hAnsi="宋体" w:cs="宋体" w:hint="eastAsia"/>
                <w:b/>
                <w:bCs/>
                <w:kern w:val="0"/>
                <w:sz w:val="21"/>
                <w:szCs w:val="21"/>
                <w:bdr w:val="none" w:sz="0" w:space="0" w:color="auto"/>
                <w:lang w:val="en-US" w:eastAsia="zh-CN" w:bidi="ar"/>
              </w:rPr>
              <w:t>阶段</w:t>
            </w:r>
          </w:p>
        </w:tc>
        <w:tc>
          <w:tcPr>
            <w:tcW w:w="0" w:type="auto"/>
            <w:tcBorders>
              <w:top w:val="single" w:sz="4" w:space="0" w:color="CCCCCC"/>
              <w:left w:val="single" w:sz="4" w:space="0" w:color="CCCCCC"/>
              <w:bottom w:val="single" w:sz="4" w:space="0" w:color="CCCCCC"/>
              <w:right w:val="single" w:sz="4" w:space="0" w:color="CCCCCC"/>
            </w:tcBorders>
            <w:shd w:val="clear" w:color="auto" w:fill="auto"/>
            <w:tcMar>
              <w:top w:w="120" w:type="dxa"/>
              <w:left w:w="120" w:type="dxa"/>
              <w:bottom w:w="120" w:type="dxa"/>
              <w:right w:w="120" w:type="dxa"/>
            </w:tcMar>
            <w:vAlign w:val="center"/>
          </w:tcPr>
          <w:p w14:paraId="6033685C">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b/>
                <w:bCs/>
                <w:sz w:val="21"/>
                <w:szCs w:val="21"/>
              </w:rPr>
            </w:pPr>
            <w:r>
              <w:rPr>
                <w:rFonts w:ascii="宋体" w:eastAsia="宋体" w:hAnsi="宋体" w:cs="宋体" w:hint="eastAsia"/>
                <w:b/>
                <w:bCs/>
                <w:kern w:val="0"/>
                <w:sz w:val="21"/>
                <w:szCs w:val="21"/>
                <w:bdr w:val="none" w:sz="0" w:space="0" w:color="auto"/>
                <w:lang w:val="en-US" w:eastAsia="zh-CN" w:bidi="ar"/>
              </w:rPr>
              <w:t>具体安排</w:t>
            </w:r>
          </w:p>
        </w:tc>
      </w:tr>
      <w:tr w14:paraId="43601CFE">
        <w:tblPrEx>
          <w:tblW w:w="5000" w:type="pct"/>
          <w:tblInd w:w="0" w:type="dxa"/>
          <w:shd w:val="clear" w:color="auto" w:fill="auto"/>
          <w:tblCellMar>
            <w:top w:w="15" w:type="dxa"/>
            <w:left w:w="15" w:type="dxa"/>
            <w:bottom w:w="15" w:type="dxa"/>
            <w:right w:w="15"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auto"/>
            <w:tcMar>
              <w:top w:w="120" w:type="dxa"/>
              <w:left w:w="120" w:type="dxa"/>
              <w:bottom w:w="120" w:type="dxa"/>
              <w:right w:w="120" w:type="dxa"/>
            </w:tcMar>
            <w:vAlign w:val="center"/>
          </w:tcPr>
          <w:p w14:paraId="67227A02">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sz w:val="21"/>
                <w:szCs w:val="21"/>
              </w:rPr>
            </w:pPr>
            <w:r>
              <w:rPr>
                <w:rFonts w:ascii="宋体" w:eastAsia="宋体" w:hAnsi="宋体" w:cs="宋体" w:hint="eastAsia"/>
                <w:kern w:val="0"/>
                <w:sz w:val="21"/>
                <w:szCs w:val="21"/>
                <w:bdr w:val="none" w:sz="0" w:space="0" w:color="auto"/>
                <w:lang w:val="en-US" w:eastAsia="zh-CN" w:bidi="ar"/>
              </w:rPr>
              <w:t>2026.6—2026.8</w:t>
            </w:r>
          </w:p>
        </w:tc>
        <w:tc>
          <w:tcPr>
            <w:tcW w:w="0" w:type="auto"/>
            <w:tcBorders>
              <w:top w:val="single" w:sz="4" w:space="0" w:color="CCCCCC"/>
              <w:left w:val="single" w:sz="4" w:space="0" w:color="CCCCCC"/>
              <w:bottom w:val="single" w:sz="4" w:space="0" w:color="CCCCCC"/>
              <w:right w:val="single" w:sz="4" w:space="0" w:color="CCCCCC"/>
            </w:tcBorders>
            <w:shd w:val="clear" w:color="auto" w:fill="auto"/>
            <w:tcMar>
              <w:top w:w="120" w:type="dxa"/>
              <w:left w:w="120" w:type="dxa"/>
              <w:bottom w:w="120" w:type="dxa"/>
              <w:right w:w="120" w:type="dxa"/>
            </w:tcMar>
            <w:vAlign w:val="center"/>
          </w:tcPr>
          <w:p w14:paraId="061BF128">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sz w:val="21"/>
                <w:szCs w:val="21"/>
              </w:rPr>
            </w:pPr>
            <w:r>
              <w:rPr>
                <w:rFonts w:ascii="宋体" w:eastAsia="宋体" w:hAnsi="宋体" w:cs="宋体" w:hint="eastAsia"/>
                <w:kern w:val="0"/>
                <w:sz w:val="21"/>
                <w:szCs w:val="21"/>
                <w:bdr w:val="none" w:sz="0" w:space="0" w:color="auto"/>
                <w:lang w:val="en-US" w:eastAsia="zh-CN" w:bidi="ar"/>
              </w:rPr>
              <w:t>资料收集及调研阶段</w:t>
            </w:r>
          </w:p>
        </w:tc>
        <w:tc>
          <w:tcPr>
            <w:tcW w:w="0" w:type="auto"/>
            <w:tcBorders>
              <w:top w:val="single" w:sz="4" w:space="0" w:color="CCCCCC"/>
              <w:left w:val="single" w:sz="4" w:space="0" w:color="CCCCCC"/>
              <w:bottom w:val="single" w:sz="4" w:space="0" w:color="CCCCCC"/>
              <w:right w:val="single" w:sz="4" w:space="0" w:color="CCCCCC"/>
            </w:tcBorders>
            <w:shd w:val="clear" w:color="auto" w:fill="auto"/>
            <w:tcMar>
              <w:top w:w="120" w:type="dxa"/>
              <w:left w:w="120" w:type="dxa"/>
              <w:bottom w:w="120" w:type="dxa"/>
              <w:right w:w="120" w:type="dxa"/>
            </w:tcMar>
            <w:vAlign w:val="center"/>
          </w:tcPr>
          <w:p w14:paraId="09E1CA67">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sz w:val="21"/>
                <w:szCs w:val="21"/>
              </w:rPr>
            </w:pPr>
            <w:r>
              <w:rPr>
                <w:rFonts w:ascii="宋体" w:eastAsia="宋体" w:hAnsi="宋体" w:cs="宋体" w:hint="eastAsia"/>
                <w:i w:val="0"/>
                <w:iCs w:val="0"/>
                <w:caps w:val="0"/>
                <w:color w:val="0F1115"/>
                <w:spacing w:val="0"/>
                <w:sz w:val="21"/>
                <w:szCs w:val="21"/>
                <w:shd w:val="clear" w:color="auto" w:fill="FFFFFF"/>
              </w:rPr>
              <w:t>整理S省烟草公司五组架构、190个指标、429个风控规则到济宁、烟台试点调研，找出目前五维框架对于数据治理组的覆盖不足之处。</w:t>
            </w:r>
          </w:p>
        </w:tc>
      </w:tr>
      <w:tr w14:paraId="4D5B8954">
        <w:tblPrEx>
          <w:tblW w:w="5000" w:type="pct"/>
          <w:tblInd w:w="0" w:type="dxa"/>
          <w:shd w:val="clear" w:color="auto" w:fill="auto"/>
          <w:tblCellMar>
            <w:top w:w="15" w:type="dxa"/>
            <w:left w:w="15" w:type="dxa"/>
            <w:bottom w:w="15" w:type="dxa"/>
            <w:right w:w="15"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auto"/>
            <w:tcMar>
              <w:top w:w="120" w:type="dxa"/>
              <w:left w:w="120" w:type="dxa"/>
              <w:bottom w:w="120" w:type="dxa"/>
              <w:right w:w="120" w:type="dxa"/>
            </w:tcMar>
            <w:vAlign w:val="center"/>
          </w:tcPr>
          <w:p w14:paraId="6ECD9D6E">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sz w:val="21"/>
                <w:szCs w:val="21"/>
              </w:rPr>
            </w:pPr>
            <w:r>
              <w:rPr>
                <w:rFonts w:ascii="宋体" w:eastAsia="宋体" w:hAnsi="宋体" w:cs="宋体" w:hint="eastAsia"/>
                <w:kern w:val="0"/>
                <w:sz w:val="21"/>
                <w:szCs w:val="21"/>
                <w:bdr w:val="none" w:sz="0" w:space="0" w:color="auto"/>
                <w:lang w:val="en-US" w:eastAsia="zh-CN" w:bidi="ar"/>
              </w:rPr>
              <w:t>2026.9—2027.4</w:t>
            </w:r>
          </w:p>
        </w:tc>
        <w:tc>
          <w:tcPr>
            <w:tcW w:w="0" w:type="auto"/>
            <w:tcBorders>
              <w:top w:val="single" w:sz="4" w:space="0" w:color="CCCCCC"/>
              <w:left w:val="single" w:sz="4" w:space="0" w:color="CCCCCC"/>
              <w:bottom w:val="single" w:sz="4" w:space="0" w:color="CCCCCC"/>
              <w:right w:val="single" w:sz="4" w:space="0" w:color="CCCCCC"/>
            </w:tcBorders>
            <w:shd w:val="clear" w:color="auto" w:fill="auto"/>
            <w:tcMar>
              <w:top w:w="120" w:type="dxa"/>
              <w:left w:w="120" w:type="dxa"/>
              <w:bottom w:w="120" w:type="dxa"/>
              <w:right w:w="120" w:type="dxa"/>
            </w:tcMar>
            <w:vAlign w:val="center"/>
          </w:tcPr>
          <w:p w14:paraId="566C8AFA">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sz w:val="21"/>
                <w:szCs w:val="21"/>
              </w:rPr>
            </w:pPr>
            <w:r>
              <w:rPr>
                <w:rFonts w:ascii="宋体" w:eastAsia="宋体" w:hAnsi="宋体" w:cs="宋体" w:hint="eastAsia"/>
                <w:kern w:val="0"/>
                <w:sz w:val="21"/>
                <w:szCs w:val="21"/>
                <w:bdr w:val="none" w:sz="0" w:space="0" w:color="auto"/>
                <w:lang w:val="en-US" w:eastAsia="zh-CN" w:bidi="ar"/>
              </w:rPr>
              <w:t>形成阶段性成果</w:t>
            </w:r>
          </w:p>
        </w:tc>
        <w:tc>
          <w:tcPr>
            <w:tcW w:w="0" w:type="auto"/>
            <w:tcBorders>
              <w:top w:val="single" w:sz="4" w:space="0" w:color="CCCCCC"/>
              <w:left w:val="single" w:sz="4" w:space="0" w:color="CCCCCC"/>
              <w:bottom w:val="single" w:sz="4" w:space="0" w:color="CCCCCC"/>
              <w:right w:val="single" w:sz="4" w:space="0" w:color="CCCCCC"/>
            </w:tcBorders>
            <w:shd w:val="clear" w:color="auto" w:fill="auto"/>
            <w:tcMar>
              <w:top w:w="120" w:type="dxa"/>
              <w:left w:w="120" w:type="dxa"/>
              <w:bottom w:w="120" w:type="dxa"/>
              <w:right w:w="120" w:type="dxa"/>
            </w:tcMar>
            <w:vAlign w:val="center"/>
          </w:tcPr>
          <w:p w14:paraId="1AC770B9">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sz w:val="21"/>
                <w:szCs w:val="21"/>
              </w:rPr>
            </w:pPr>
            <w:r>
              <w:rPr>
                <w:rFonts w:ascii="宋体" w:eastAsia="宋体" w:hAnsi="宋体" w:cs="宋体" w:hint="eastAsia"/>
                <w:i w:val="0"/>
                <w:iCs w:val="0"/>
                <w:caps w:val="0"/>
                <w:color w:val="0F1115"/>
                <w:spacing w:val="0"/>
                <w:sz w:val="21"/>
                <w:szCs w:val="21"/>
                <w:shd w:val="clear" w:color="auto" w:fill="FFFFFF"/>
              </w:rPr>
              <w:t>采用德尔菲法筛选指标，根据权重组合来确定权重，创建规则命中率等代理变量，用试点数据检验同层可比、跨层折算。</w:t>
            </w:r>
          </w:p>
        </w:tc>
      </w:tr>
      <w:tr w14:paraId="16CF1849">
        <w:tblPrEx>
          <w:tblW w:w="5000" w:type="pct"/>
          <w:tblInd w:w="0" w:type="dxa"/>
          <w:shd w:val="clear" w:color="auto" w:fill="auto"/>
          <w:tblCellMar>
            <w:top w:w="15" w:type="dxa"/>
            <w:left w:w="15" w:type="dxa"/>
            <w:bottom w:w="15" w:type="dxa"/>
            <w:right w:w="15"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auto"/>
            <w:tcMar>
              <w:top w:w="120" w:type="dxa"/>
              <w:left w:w="120" w:type="dxa"/>
              <w:bottom w:w="120" w:type="dxa"/>
              <w:right w:w="120" w:type="dxa"/>
            </w:tcMar>
            <w:vAlign w:val="center"/>
          </w:tcPr>
          <w:p w14:paraId="686E3638">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sz w:val="21"/>
                <w:szCs w:val="21"/>
              </w:rPr>
            </w:pPr>
            <w:r>
              <w:rPr>
                <w:rFonts w:ascii="宋体" w:eastAsia="宋体" w:hAnsi="宋体" w:cs="宋体" w:hint="eastAsia"/>
                <w:kern w:val="0"/>
                <w:sz w:val="21"/>
                <w:szCs w:val="21"/>
                <w:bdr w:val="none" w:sz="0" w:space="0" w:color="auto"/>
                <w:lang w:val="en-US" w:eastAsia="zh-CN" w:bidi="ar"/>
              </w:rPr>
              <w:t>2027.5—2027.6</w:t>
            </w:r>
          </w:p>
        </w:tc>
        <w:tc>
          <w:tcPr>
            <w:tcW w:w="0" w:type="auto"/>
            <w:tcBorders>
              <w:top w:val="single" w:sz="4" w:space="0" w:color="CCCCCC"/>
              <w:left w:val="single" w:sz="4" w:space="0" w:color="CCCCCC"/>
              <w:bottom w:val="single" w:sz="4" w:space="0" w:color="CCCCCC"/>
              <w:right w:val="single" w:sz="4" w:space="0" w:color="CCCCCC"/>
            </w:tcBorders>
            <w:shd w:val="clear" w:color="auto" w:fill="auto"/>
            <w:tcMar>
              <w:top w:w="120" w:type="dxa"/>
              <w:left w:w="120" w:type="dxa"/>
              <w:bottom w:w="120" w:type="dxa"/>
              <w:right w:w="120" w:type="dxa"/>
            </w:tcMar>
            <w:vAlign w:val="center"/>
          </w:tcPr>
          <w:p w14:paraId="36990007">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sz w:val="21"/>
                <w:szCs w:val="21"/>
              </w:rPr>
            </w:pPr>
            <w:r>
              <w:rPr>
                <w:rFonts w:ascii="宋体" w:eastAsia="宋体" w:hAnsi="宋体" w:cs="宋体" w:hint="eastAsia"/>
                <w:kern w:val="0"/>
                <w:sz w:val="21"/>
                <w:szCs w:val="21"/>
                <w:bdr w:val="none" w:sz="0" w:space="0" w:color="auto"/>
                <w:lang w:val="en-US" w:eastAsia="zh-CN" w:bidi="ar"/>
              </w:rPr>
              <w:t>完成结题报告</w:t>
            </w:r>
          </w:p>
        </w:tc>
        <w:tc>
          <w:tcPr>
            <w:tcW w:w="0" w:type="auto"/>
            <w:tcBorders>
              <w:top w:val="single" w:sz="4" w:space="0" w:color="CCCCCC"/>
              <w:left w:val="single" w:sz="4" w:space="0" w:color="CCCCCC"/>
              <w:bottom w:val="single" w:sz="4" w:space="0" w:color="CCCCCC"/>
              <w:right w:val="single" w:sz="4" w:space="0" w:color="CCCCCC"/>
            </w:tcBorders>
            <w:shd w:val="clear" w:color="auto" w:fill="auto"/>
            <w:tcMar>
              <w:top w:w="120" w:type="dxa"/>
              <w:left w:w="120" w:type="dxa"/>
              <w:bottom w:w="120" w:type="dxa"/>
              <w:right w:w="120" w:type="dxa"/>
            </w:tcMar>
            <w:vAlign w:val="center"/>
          </w:tcPr>
          <w:p w14:paraId="18072F16">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sz w:val="21"/>
                <w:szCs w:val="21"/>
              </w:rPr>
            </w:pPr>
            <w:r>
              <w:rPr>
                <w:rFonts w:ascii="宋体" w:eastAsia="宋体" w:hAnsi="宋体" w:cs="宋体" w:hint="eastAsia"/>
                <w:i w:val="0"/>
                <w:iCs w:val="0"/>
                <w:caps w:val="0"/>
                <w:color w:val="0F1115"/>
                <w:spacing w:val="0"/>
                <w:sz w:val="21"/>
                <w:szCs w:val="21"/>
                <w:shd w:val="clear" w:color="auto" w:fill="FFFFFF"/>
              </w:rPr>
              <w:t>汇总实证结果后给出分岗位的评价方案以及运行规则，撰写结题报告，给出结果应用于岗位配置、流程优化的建议。</w:t>
            </w:r>
          </w:p>
        </w:tc>
      </w:tr>
    </w:tbl>
    <w:p w14:paraId="79056AD5">
      <w:pPr>
        <w:keepNext w:val="0"/>
        <w:keepLines w:val="0"/>
        <w:pageBreakBefore w:val="0"/>
        <w:kinsoku/>
        <w:wordWrap/>
        <w:overflowPunct/>
        <w:topLinePunct w:val="0"/>
        <w:autoSpaceDE/>
        <w:autoSpaceDN/>
        <w:bidi w:val="0"/>
        <w:adjustRightInd/>
        <w:snapToGrid/>
        <w:ind w:firstLine="420" w:firstLineChars="200"/>
        <w:textAlignment w:val="auto"/>
        <w:rPr>
          <w:rFonts w:ascii="宋体" w:eastAsia="宋体" w:hAnsi="宋体" w:cs="宋体" w:hint="eastAsia"/>
          <w:sz w:val="21"/>
          <w:szCs w:val="21"/>
          <w:lang w:val="en-US" w:eastAsia="zh-CN"/>
        </w:rPr>
      </w:pP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A71ADE"/>
    <w:rsid w:val="6E131BB7"/>
    <w:rsid w:val="7C1826B7"/>
    <w:rsid w:val="7FA71A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31</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2026-11-03T02:57:00Z</dcterms:created>
  <dcterms:modified xsi:type="dcterms:W3CDTF">2026-11-03T03:40:52Z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7C0A3B79F78849689904C9C4C59CD0B0_11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