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B0CB1B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（二）立足行业场景，挖掘思政内容资源</w:t>
      </w:r>
    </w:p>
    <w:p w14:paraId="1E8C48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高速交通行业自身就有许多的思政教育资源。收费员的规范服务、养护人员日常巡检、路政人员应急处置、保通保畅期间的共同工作，都是以责任意识、奉献精神、职业操行为表现出来的。恶劣天气下的道路通行保障、节假日大流量时的疏导，是行业在公共服务方面担当的体现。来自一线真实事例的抽象的理论很难被职工所接受。近些年来，很多单位针对岗位故事、技能竞赛、劳模事迹进行宣传，重视把职业精神融入到具体的业务活动中去，使思政的内容与日常工作建立联系，提高了宣传的现实感。</w:t>
      </w:r>
    </w:p>
    <w:p w14:paraId="0D40C7E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（三）直面传播变局，遭遇宣传现实难题</w:t>
      </w:r>
    </w:p>
    <w:p w14:paraId="0EEEFF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新媒体环境下信息的传播是碎片化的、即时的、个性化的。受众每天接触的信息量大，注意力分散，如果宣传的内容没有足够的吸引力，那么它就很难从众多的信息中脱颖而出。同时发布信息的主体越来越多，官方媒体、自媒体以及各种平台同时发声，造成宣传内容的争夺更为激烈。</w:t>
      </w:r>
    </w:p>
    <w:p w14:paraId="00F9651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对高速交通行业而言，有特殊的现实情况，就是一线岗位实行轮班制，集中学习时间不能保证，有些偏远地区的网络条件较差，职工年龄分布不均，对于媒介的使用习惯也有差异。因此对宣传工作内容的形式、发布的时间、渠道的选择都要做更多的思考。</w:t>
      </w:r>
    </w:p>
    <w:p w14:paraId="2F91405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6A62212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二、剖析症结：新媒体环境高速交通思政宣传现存困境</w:t>
      </w:r>
    </w:p>
    <w:p w14:paraId="1F918CA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（一）内容供给固化，叙事表达较为单一</w:t>
      </w:r>
    </w:p>
    <w:p w14:paraId="513738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目前很多单位宣传的内容大多以会议报道、工作总结、活动通报为主，内容重复、结构雷同，没有对一线工作细节和职工真实感受做深入挖掘。叙事的方式大多是概括性的叙述，重视结果，轻视过程，人物形象单薄，事例没有很强的感染力。</w:t>
      </w:r>
    </w:p>
    <w:p w14:paraId="74AA69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内容固化是由选题大多是上级安排或者阶段性任务决定的，主动策划的少所导致的；另一方面是对于不同的受众有不同的需求，同一篇内容在不同的平台重复发布，没有考虑到各个平台的特点而进行表达方式的调整。长期这样会造成受众审美疲劳，宣传的内容到达率、认同度也会随之降低。思政内容同业务工作之间缺少关联性，常被当作一项额外的“负担”，而缺少将思想教育融入到岗位工作中去的价值引领作用。</w:t>
      </w:r>
    </w:p>
    <w:p w14:paraId="4FD901C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（二）载体运用浅表，融合深度有待加强</w:t>
      </w:r>
    </w:p>
    <w:p w14:paraId="068B88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虽然大部分单位都开设了新媒体账号，但是对于平台功能的使用还是停留在发布信息上。账号之间没有进行统一规划，公众号、视频号以及内部平台各自独立运营，缺少内容的联动，不能产生综合效果。互动功能使用率低，留言回复、话题讨论、线上活动少，宣传是单向的</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3</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67BD7C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传统载体和新媒体之间衔接不紧。线下主题活动、技能大赛一般只做活动结束后的简要报道，没有利用新媒体做好活动前预热、活动期间直播以及活动后的持续交流工作。载体融合更多是表层的叠加，而不是内容和功能的深层次结合，造成新媒体传播优势不能得到充分发挥。</w:t>
      </w:r>
    </w:p>
    <w:p w14:paraId="3EEA71D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（三）队伍能力受限，媒介素养仍需提升</w:t>
      </w:r>
    </w:p>
    <w:p w14:paraId="2F9F24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新媒体宣传对从业人员有较高的要求，必须对文字、图像、视频的制作有基本的掌握，对平台规则及传播规律有基本的了解，思想政治理论的修养也要有一定的基础。但是现有的宣传队伍多由办公室或党务工作人员兼职担任，专业人员较少，专业培训欠缺。</w:t>
      </w:r>
    </w:p>
    <w:p w14:paraId="64AAFD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部分工作人员对于新媒体的认识只是停留在技术的操作上，并没有对传播的规律以及受众的心理有系统的了解；舆情信息敏感度及应对能力还有待提高。另外一线职工参与内容创作的渠道很少，参与的积极性没有得到充分调动，宣传工作主要是少数人来完成，内容来源比较窄。队伍结构及能力的缺失，成了宣传质量提升的障碍。</w:t>
      </w:r>
    </w:p>
    <w:p w14:paraId="433A995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（四）反馈机制缺失，传播效果难以评估</w:t>
      </w:r>
    </w:p>
    <w:p w14:paraId="5E0D63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目前宣传效果评价大多依靠阅读量、点赞量和发布次数等表层的数据，只能说明内容被接触到的程度，不能体现出受众是否真的理解、接受并且付诸行动。一些单位把发布数量当作考核标准会造成重数量、轻质量的现象。</w:t>
      </w:r>
    </w:p>
    <w:p w14:paraId="3A51CC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由于没有建立系统的反馈收集渠道，宣传部门不能及时了解到职工以及公众真实的想法，并且也不能根据反馈做出内容及方式的调整。思政宣传效果是长期的、隐性的，很难用单一指标去衡量，但是缺少科学的评价体系的话，宣传工作就很难形成“策划、实施、评估、改进”的闭环，创新也缺少有力的依据。</w:t>
      </w:r>
    </w:p>
    <w:p w14:paraId="0FEDFB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三、守正拓新：新媒体环境高速交通思政宣传创新路径</w:t>
      </w:r>
    </w:p>
    <w:p w14:paraId="1FDE7CF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（一）深耕内容创作，打造行业思政精品</w:t>
      </w:r>
    </w:p>
    <w:p w14:paraId="6A4E03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内容质量是决定宣传工作成果的关键因素，高速交通思政宣传的革新要从选题和叙事两个方面共同开展。素材来源上应到收费站、养护现场、路政巡查、服务区等一线去采风，在收费人员耐心服务、养护人员夜间作业、应急抢通时的协作配合等具体情境中，用细节描写表现职业精神，不能用概括性的结论代替真实的展开。素材选择既要重视先进典型，也要注意普通岗位上平凡工作的坚守，让职工在内容里体会到自己工作的重要性。面向内部职工内容要重在职业认同、技能成长、团队合作，面向社会公众内容则围绕安全出行、文明通行展开，语言力求通俗易懂。同一种主题根据不同的平台属性，可以转变成图文、短视频、音频、图解等多种形态，并且要对每一种形式进行相应的篇幅、节奏的调整。从工作流程来说，应该将思政内容融入安全培训、服务规范的学习以及应急演练当中，使职工对自身的责任、职业道德教育与业务实际紧密联系，建立定期的选题策划制度，整理出行业重要的时间节点和社会热点问题，提前规划内容，使宣传工作更加主动和连续，逐渐形成有行业识别度的内容</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4</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4F503AD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（二）盘活媒介矩阵，构建多元传播格局</w:t>
      </w:r>
    </w:p>
    <w:p w14:paraId="6342B2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媒介矩阵的建立在于统筹规划、功能互补，而不是把账号数量叠加起来。根据各个平台自身的特性确定定位，微信公众号可以做深报道、政策解读，短视频平台可以展示工作场景，传递情感，内部移动办公平台用学习交流、工作通知的方式使用。各个平台之间要做好内容的联动，以一个主题为中心向各个方向发展，防止重复发布造成资源浪费的现象出现。线上线下的结合也不可缺少，在开展主题教育活动、岗位练兵、志愿服务等线下活动时，利用新媒体可以对活动进行预告、过程直播、后续讨论，使活动的影响从现场扩展到更广范围。服务区以及收费站电子显示屏、触摸屏等设施的设置应当被纳入到整个传播框架内，在旅客进出服务区或收费站时，也自然地接触到这些信息。互动性提升就是格局优化的重点之一，可以采用话题征集、线上问答、职工故事分享等方式促使受众由被动接受变成主动参与。网络条件受限的路段应用离线下载定时推送的方式来保证信息的传递。使用各种技术手段的时候要遵守内容审核以及信息安全的规定，保证传播的规范有序。</w:t>
      </w:r>
    </w:p>
    <w:p w14:paraId="60B83A7D">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default"/>
          <w:color w:val="auto"/>
          <w:highlight w:val="yellow"/>
          <w:lang w:val="en-US" w:eastAsia="zh-CN"/>
        </w:rPr>
        <w:t>帷幕灌浆技术在水利工程施工中的应用研究</w:t>
      </w:r>
    </w:p>
    <w:p>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1.2钻孔布置与孔序施工方案</w:t>
      </w:r>
    </w:p>
    <w:p w14:paraId="0D7B5431">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FF0000"/>
          <w:lang w:val="en-US" w:eastAsia="zh-CN"/>
        </w:rPr>
        <w:t>帷幕灌浆钻孔沿坝轴线布置，孔距根据裂隙发育和防渗的要求取1.5～3.0m，在高透水区适当加密。巍山县白乃水库设双排孔，孔距为1.5m坝高、基岩透水性决定帷幕排数，排距控制在1.5m～2.0m。施工采取分序加密施工工艺，依次进行第Ⅰ序孔、第Ⅱ序孔、第Ⅲ序孔施工，Ⅰ序孔间距是设计值的2-3倍，后面慢慢加密。结合前期灌浆数据，根据灌浆施工工艺要求采用分序加密工艺，控制浆液扩散，减少浆液的浪费，保证帷幕在平面和深度上完全覆盖渗流通道。</w:t>
      </w:r>
    </w:p>
    <w:p w14:paraId="0D172519">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1.3灌浆压力与浆液配比参数</w:t>
      </w:r>
    </w:p>
    <w:p w14:paraId="04693247">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灌浆压力决定浆液扩散的范围，灌浆压力过低无法填充细微裂隙，灌浆压力过高容易造成岩体的抬动和盖重破坏。压力根据岩体埋深、风化情况分段设置，表层段0.2～0.5MPa，深部段提高到1.0～1.5MPa逐级增大。浆液按照由稀到浓的原则调节水灰比，开始时用5:1或者3:1的水灰比，逐级增加到2:1、1:1、0.5:1。稀浆适合于细微裂隙的浆液，浓浆适合于宽大裂隙的浆液。施工依据单位注入量和压力的变化来调节浆液浓度，配比与压力同步控制浆液扩散效果和帷幕结石的力学强度。</w:t>
      </w:r>
    </w:p>
    <w:p w14:paraId="040058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3.4灌浆效果影响因素与改进措施</w:t>
      </w:r>
    </w:p>
    <w:p w14:paraId="5D01096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地质条件决定了岩体裂隙的大小、地下水流动的速度以及地层的可灌性，影响浆液充填难易程度，可灌性差的岩石要改变浆液品种或者使用膏状浆液。浆液性能就是水灰比、流动度和凝结时间决定浆液渗透距离和结石强度，灌浆过程应随时调节。施工工艺上孔距过大或者分段不合理会造成防渗薄弱带的出现，要根据前期灌浆资料重新布置孔位。改进措施是利用计算机自动记录灌浆参数，推广智能灌浆系统，按照实时数据调节压力和浆液浓度，减小人为因素造成的误差，提高帷幕整体防渗可靠性</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5</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br/>
      </w:r>
      <w:r>
        <w:rPr>
          <w:rFonts w:ascii="宋体" w:eastAsia="宋体" w:hAnsi="宋体" w:cs="宋体" w:hint="eastAsia"/>
          <w:color w:val="FF0000"/>
          <w:lang w:val="en-US" w:eastAsia="zh-CN"/>
        </w:rPr>
        <w:br/>
      </w:r>
      <w:r>
        <w:rPr>
          <w:rFonts w:ascii="宋体" w:eastAsia="宋体" w:hAnsi="宋体" w:cs="宋体" w:hint="eastAsia"/>
          <w:color w:val="FF0000"/>
          <w:lang w:val="en-US" w:eastAsia="zh-CN"/>
        </w:rPr>
        <w:t>】</w:t>
      </w:r>
    </w:p>
    <w:p w14:paraId="72A9FD6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ascii="宋体" w:eastAsia="宋体" w:hAnsi="宋体" w:cs="宋体" w:hint="eastAsia"/>
          <w:color w:val="auto"/>
          <w:lang w:val="en-US" w:eastAsia="zh-CN"/>
        </w:rPr>
      </w:pPr>
      <w:r>
        <w:rPr>
          <w:rFonts w:ascii="宋体" w:eastAsia="宋体" w:hAnsi="宋体" w:cs="宋体" w:hint="eastAsia"/>
          <w:color w:val="auto"/>
          <w:highlight w:val="yellow"/>
          <w:lang w:val="en-US" w:eastAsia="zh-CN"/>
        </w:rPr>
        <w:t>国有企业在经营环境不断变化的大环境下，企业经营</w:t>
      </w:r>
    </w:p>
    <w:p w14:paraId="65B3D0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的总体水平决定着企业经营是否能够实现高质量的发展。党建工作是国有企业的内部管理内容，党建工作是否规范会影响到组织运转是否有序、决策是否有效。从实际情况来看，很多企业在推进党建规范化的时候，把工作的重心放在了制度完备、工作流程完善上，对于党建工作与营收、利润、成本、风险等经营要素之间存在的对应关系考虑不多，造成党建成效不能够在经营结果里体现出来。因此本文从党建规范化落地过程中存在的操作性问题出发，从经营链条的环节入手，对具体的措施进行论述，在考评、队伍、复盘、示范等几个方面提出相应的配套保障措施，为国有企业党建同经营深度融合提供一定的参考。</w:t>
      </w:r>
    </w:p>
    <w:p w14:paraId="0EE0213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（一）融合绩效考评，平衡党建营收权重</w:t>
      </w:r>
    </w:p>
    <w:p w14:paraId="7C4233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党建举措融入经营环节以后，要想保证长期稳定的效果，就必须要有相应的考评体系来支撑，否则相关工作会因为阶段性重点的改变而产生松动。考评体系要冲破两方面评价相脱离的状况，把党建评价同经营成果一起纳入一个体系实施评价。根据不同的基层单元职能差别而进行指标的差异化配置，承担市场业务、直接负责效益指标的单位，将经营成果在党建考评中所占比例提高一些，对以内部支持服务为主的管理单元，以协同效率和服务支撑质量为主要内容来开展党建考评。指标选取要逐步缩减对流程达成状况的关注指标，增大可以核验经营成果的指标比重，包含重点项目推进的速度、成本削减的数目、新增合同的规模等。考评结果一起被用作支部等次评定、管理人员履职考核的依据，同评优推优、绩效分配存在关联。整体权重结构维持在较稳定的状态，只对年度经营重点做小幅度调整，降低基层频繁变动方向所造成的执行压力，促使基层党组织在日常安排里主动对接经营目标，使党建起到引导作用。</w:t>
      </w:r>
    </w:p>
    <w:p w14:paraId="6903702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（三）健全复盘机制，跟踪党建经营成效</w:t>
      </w:r>
    </w:p>
    <w:p w14:paraId="5C0427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创建常态化复盘机制有利，可以使党建投入同经营产出之间的关系得到不断的梳理，也可以防止二者的联动效果不能量化的追踪。企业应按照季度或者年度固定时间开展复盘活动，复盘时收集基层党建任务完成情况记录和同期经营运行数据做为分析的原始材料。复盘不只是核对任务与指标是否完成，也是通过数据对比与典型项目案例分析，对经营指标波动中哪些变动和党建载体推进有关，哪些偏差是由于衔接不到位造成的，以及外部市场波动和内部管理动作造成的影响。复盘工作结束之后形成书面分析报告，提交给相应的管理层共同讨论，为下一步的调整工作做好参照。就重复出现的问题做制度流程上的改进。通过不断循环的复盘来检验各个措施的实际效果，使党建赋能经营的路径不断优化，削减无效投入，提升工作匹配度。</w:t>
      </w:r>
    </w:p>
    <w:p w14:paraId="3E06074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（四）培育样板工程，复制成熟盈利模式</w:t>
      </w:r>
    </w:p>
    <w:p w14:paraId="08FF97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样板项目在基层分散的实践中积累可复制的经验，减少其他单元自行探索过程中出现的试错费用。样板选择必须以可以证明经营改善成果的数据为基础，重利润的变动，轻成本的控制，轻市场拓展的数据。确定培育对象之后，整理出项目推进过程中项目组人员、任务分工、跨部门合作及指标跟踪方法等各方面的操作手册，可为其他单位提供一定的借鉴，具有一定的灵活性，以满足不同业务场景下的需求。推广阶段不需要各个单位直接复制方案，而应当引导各个支部参照自身的业务状况和经营不足之处，制定出相应的符合自身情况的方案。样板落地之后持续追踪一段时间内的经营数据，对执行过程中遇到的堵点做收集整理工作，对指引内容不断加以改善。经过有条理的经验复制，成熟有效的做法就会逐渐在各个业务板块上落实，使整个企业的经营水平得以稳步提升。</w:t>
      </w:r>
    </w:p>
    <w:p w14:paraId="0E3ED55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80"/>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5FBB384"/>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BFFDAF2"/>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apple</cp:lastModifiedBy>
  <cp:revision>0</cp:revision>
  <dcterms:created xsi:type="dcterms:W3CDTF">2025-01-02T10:06:00Z</dcterms:created>
  <dcterms:modified xsi:type="dcterms:W3CDTF">2026-11-03T10:39:23Z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