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383A1A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结合《民法典》浅论我国网络隐私权的民法保护</w:t>
      </w:r>
    </w:p>
    <w:p w14:paraId="4B77064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摘要：</w:t>
      </w:r>
      <w:r>
        <w:rPr>
          <w:rFonts w:asciiTheme="minorEastAsia" w:eastAsiaTheme="minorEastAsia" w:hAnsiTheme="minorEastAsia" w:cstheme="minorEastAsia" w:hint="eastAsia"/>
        </w:rPr>
        <w:t>《民法典》人格权编以第1032条、第1033条和第1034条为核心，创建了“隐私权-个人信息”分层保护的法律体系，把“私密信息”当作网络隐私保护的媒介，是网络隐私民法保护从消极防御到积极确权的转变。但是网络环境里存在着三个方面的结构障碍，即私密信息认定标准对于技术性脱敏、场景流动性来说变得模糊了，用过错责任原则归责的逻辑和信息主体与处理者之间举证能力的巨大差距不能相提并论，平台义务的“通知—删除”模式以消极的被动应对为主，不能满足大规模、自动化侵权预防的需求。完善路径不是抛弃现有的制度框架，而应该是在合理的期待基础上增加场景风险，对私密信息侵权采取过错推定的处理方式，将平台义务由事后被动反应延伸到风险预警、系统合规，利用检察公益诉讼作为补充性救济手段。</w:t>
      </w:r>
    </w:p>
    <w:p w14:paraId="2230E2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关键词：《民法典》；网络隐私权；私密信息；个人信息保护；侵权责任</w:t>
      </w:r>
    </w:p>
    <w:p w14:paraId="3FEA9E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引言</w:t>
      </w:r>
    </w:p>
    <w:p w14:paraId="0255AB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网络空间的隐私侵害早已不是孤立的个人越轨行为。从“人肉搜索”到“网络开盒”，从AI的声音伪造到人脸信息的大规模交易，侵权手段的技术化、组织化不断加深，但个人救济的实效一直很小。民法典的贡献是奠基性的，在人格</w:t>
      </w:r>
      <w:r>
        <w:rPr>
          <w:rFonts w:asciiTheme="minorEastAsia" w:eastAsiaTheme="minorEastAsia" w:hAnsiTheme="minorEastAsia" w:cstheme="minorEastAsia" w:hint="eastAsia"/>
          <w:lang w:eastAsia="zh-CN"/>
        </w:rPr>
        <w:t>权</w:t>
      </w:r>
      <w:r>
        <w:rPr>
          <w:rFonts w:asciiTheme="minorEastAsia" w:eastAsiaTheme="minorEastAsia" w:hAnsiTheme="minorEastAsia" w:cstheme="minorEastAsia" w:hint="eastAsia"/>
        </w:rPr>
        <w:t>编里第一次用专章的形式对隐私权和个人信息保护做出规定，并且将“私密信息”作为联系隐私权规则和个人信息保护规则的规范枢纽</w:t>
      </w:r>
      <w:r>
        <w:rPr>
          <w:rFonts w:asciiTheme="minorEastAsia" w:hAnsiTheme="minorEastAsia" w:cstheme="minorEastAsia" w:hint="default"/>
          <w:vertAlign w:val="superscript"/>
          <w:lang w:val="en-US" w:eastAsia="zh-CN"/>
        </w:rPr>
        <w:t>[1]</w:t>
      </w:r>
      <w:r>
        <w:rPr>
          <w:rFonts w:asciiTheme="minorEastAsia" w:eastAsiaTheme="minorEastAsia" w:hAnsiTheme="minorEastAsia" w:cstheme="minorEastAsia" w:hint="eastAsia"/>
        </w:rPr>
        <w:t>。但奠基性并不等于完备性。网络隐私的保护难题，不是由于法律没有承认隐私是一种独立的人格权造成的，而是由于传统人格权保护所设定的“清晰的权利边界、可识别的侵权行为、可分担的举证责任”链条，在网络环境里处处是松动的。以《民法典》相关条文为基础，从网络场景中民法保护机制存在的具体问题入手，提出完善民法保护机制的建议。</w:t>
      </w:r>
    </w:p>
    <w:p w14:paraId="42D1B5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lang w:val="en-US" w:eastAsia="zh-CN"/>
        </w:rPr>
        <w:t>一</w:t>
      </w:r>
      <w:r>
        <w:rPr>
          <w:rFonts w:asciiTheme="minorEastAsia" w:eastAsiaTheme="minorEastAsia" w:hAnsiTheme="minorEastAsia" w:cstheme="minorEastAsia" w:hint="eastAsia"/>
        </w:rPr>
        <w:t>、《民法典》网络隐私保护的规范构造与制度逻辑</w:t>
      </w:r>
    </w:p>
    <w:p w14:paraId="69C6D7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民法典第1032条第一次在民事基本法上明确了隐私的定义为自然人“私人生活安宁和不愿意被他人知道的私人空间、私人活动、私人信息”，用刺探、侵扰、泄露、公开这四种方式来概括侵害的方式。第1033条又用列举加兜底的方式对通过电话、短信、即时通讯工具侵害他人私生活安宁的行为，处理他人私密信息的行为加以列举。和传统的隐私权不同的是，传统隐私权主要是针对物理空间的侵犯，而该构造把私密信息纳入隐私的载体之中，使得隐私的保护可以从以数据为载体的网络交往领域中延伸出去</w:t>
      </w:r>
      <w:r>
        <w:rPr>
          <w:rFonts w:asciiTheme="minorEastAsia" w:hAnsiTheme="minorEastAsia" w:cstheme="minorEastAsia" w:hint="default"/>
          <w:vertAlign w:val="superscript"/>
          <w:lang w:val="en-US" w:eastAsia="zh-CN"/>
        </w:rPr>
        <w:t>[</w:t>
      </w:r>
      <w:r>
        <w:rPr>
          <w:rFonts w:asciiTheme="minorEastAsia" w:hAnsiTheme="minorEastAsia" w:cstheme="minorEastAsia" w:hint="eastAsia"/>
          <w:vertAlign w:val="superscript"/>
          <w:lang w:val="en-US" w:eastAsia="zh-CN"/>
        </w:rPr>
        <w:t>2</w:t>
      </w:r>
      <w:r>
        <w:rPr>
          <w:rFonts w:asciiTheme="minorEastAsia" w:hAnsiTheme="minorEastAsia" w:cstheme="minorEastAsia" w:hint="default"/>
          <w:vertAlign w:val="superscript"/>
          <w:lang w:val="en-US" w:eastAsia="zh-CN"/>
        </w:rPr>
        <w:t>]</w:t>
      </w:r>
      <w:r>
        <w:rPr>
          <w:rFonts w:asciiTheme="minorEastAsia" w:eastAsiaTheme="minorEastAsia" w:hAnsiTheme="minorEastAsia" w:cstheme="minorEastAsia" w:hint="eastAsia"/>
        </w:rPr>
        <w:t>。</w:t>
      </w:r>
    </w:p>
    <w:p w14:paraId="2F6EDB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更重要的是第1034条第三款的规定，即个人信息中的私密信息适用隐私权的规定，没有规定的适用个人信息保护的规定。该种“分层递进”的技术处理从规范角度把保护逻辑分成了两种，隐私权规则以人格尊严的非财产性保护为根基，个人信息保护规则包含利用和保护两种。制度目的就是当一项信息既是私密的又是可识别的时候，优先使用隐私权高强度保护来回应，不让个人信息保护里的“同意—利用”的逻辑削弱对于核心人格领域最基本的保障。因此民法典对网络隐私所给予的不是单一的权利宣示，而是一套以“私密性”做筛选标准，以隐私权规则为主导，以个人信息规则为辅的多层次结构</w:t>
      </w:r>
      <w:r>
        <w:rPr>
          <w:rFonts w:asciiTheme="minorEastAsia" w:hAnsiTheme="minorEastAsia" w:cstheme="minorEastAsia" w:hint="default"/>
          <w:vertAlign w:val="superscript"/>
          <w:lang w:val="en-US" w:eastAsia="zh-CN"/>
        </w:rPr>
        <w:t>[</w:t>
      </w:r>
      <w:r>
        <w:rPr>
          <w:rFonts w:asciiTheme="minorEastAsia" w:hAnsiTheme="minorEastAsia" w:cstheme="minorEastAsia" w:hint="eastAsia"/>
          <w:vertAlign w:val="superscript"/>
          <w:lang w:val="en-US" w:eastAsia="zh-CN"/>
        </w:rPr>
        <w:t>3</w:t>
      </w:r>
      <w:r>
        <w:rPr>
          <w:rFonts w:asciiTheme="minorEastAsia" w:hAnsiTheme="minorEastAsia" w:cstheme="minorEastAsia" w:hint="default"/>
          <w:vertAlign w:val="superscript"/>
          <w:lang w:val="en-US" w:eastAsia="zh-CN"/>
        </w:rPr>
        <w:t>]</w:t>
      </w:r>
      <w:r>
        <w:rPr>
          <w:rFonts w:asciiTheme="minorEastAsia" w:eastAsiaTheme="minorEastAsia" w:hAnsiTheme="minorEastAsia" w:cstheme="minorEastAsia" w:hint="eastAsia"/>
        </w:rPr>
        <w:t>。</w:t>
      </w:r>
    </w:p>
    <w:p w14:paraId="4B3B3F8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lang w:val="en-US" w:eastAsia="zh-CN"/>
        </w:rPr>
        <w:t>二</w:t>
      </w:r>
      <w:r>
        <w:rPr>
          <w:rFonts w:asciiTheme="minorEastAsia" w:eastAsiaTheme="minorEastAsia" w:hAnsiTheme="minorEastAsia" w:cstheme="minorEastAsia" w:hint="eastAsia"/>
        </w:rPr>
        <w:t>、网络场景对现行框架的三重挑战</w:t>
      </w:r>
    </w:p>
    <w:p w14:paraId="4B6A10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（一）私密信息认定的场景流动性</w:t>
      </w:r>
    </w:p>
    <w:p w14:paraId="630A6F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框架运转的前提就是依赖私密信息的筛选装置是否可靠，在网络环</w:t>
      </w:r>
      <w:r>
        <w:rPr>
          <w:rFonts w:asciiTheme="minorEastAsia" w:hAnsiTheme="minorEastAsia" w:cstheme="minorEastAsia" w:hint="eastAsia"/>
          <w:lang w:eastAsia="zh-CN"/>
        </w:rPr>
        <w:t>境</w:t>
      </w:r>
      <w:r>
        <w:rPr>
          <w:rFonts w:asciiTheme="minorEastAsia" w:eastAsiaTheme="minorEastAsia" w:hAnsiTheme="minorEastAsia" w:cstheme="minorEastAsia" w:hint="eastAsia"/>
        </w:rPr>
        <w:t>下，私密性认定已经变得十分不稳定。学理上已经有了主观说、客观说、场景论、合理期待理论等标准，司法实践中也没有统一的标准。同样的信息在不同的关系网络和技术环境下被处理，会产生完全不同的私密属性，用户在封闭的社交群组里发布过照片，被一次截屏发到公开平台之后，他对于“不想让别人知道”的规范性期待是否仍然有效呢？经过匿名化或者碎片化处理的行踪轨迹，如果因为“脱敏”而无隐私性，那么当聚合数据之后，这些行踪轨迹是否又变得可以被识别，是否又具有了敏感性呢？不能从第1032条文义里直接得到答案，场景快速转换之后个案判定成本就很高了。私密信息认定的不确定性，把许多的网络隐私争议从隐私权规则的首要保护对象中排除出去，使大部分争议落入了保护强度较低的个人信息规则之中</w:t>
      </w:r>
      <w:r>
        <w:rPr>
          <w:rFonts w:asciiTheme="minorEastAsia" w:hAnsiTheme="minorEastAsia" w:cstheme="minorEastAsia" w:hint="default"/>
          <w:vertAlign w:val="superscript"/>
          <w:lang w:val="en-US" w:eastAsia="zh-CN"/>
        </w:rPr>
        <w:t>[</w:t>
      </w:r>
      <w:r>
        <w:rPr>
          <w:rFonts w:asciiTheme="minorEastAsia" w:hAnsiTheme="minorEastAsia" w:cstheme="minorEastAsia" w:hint="eastAsia"/>
          <w:vertAlign w:val="superscript"/>
          <w:lang w:val="en-US" w:eastAsia="zh-CN"/>
        </w:rPr>
        <w:t>4</w:t>
      </w:r>
      <w:r>
        <w:rPr>
          <w:rFonts w:asciiTheme="minorEastAsia" w:hAnsiTheme="minorEastAsia" w:cstheme="minorEastAsia" w:hint="default"/>
          <w:vertAlign w:val="superscript"/>
          <w:lang w:val="en-US" w:eastAsia="zh-CN"/>
        </w:rPr>
        <w:t>]</w:t>
      </w:r>
      <w:r>
        <w:rPr>
          <w:rFonts w:asciiTheme="minorEastAsia" w:eastAsiaTheme="minorEastAsia" w:hAnsiTheme="minorEastAsia" w:cstheme="minorEastAsia" w:hint="eastAsia"/>
        </w:rPr>
        <w:t>。</w:t>
      </w:r>
    </w:p>
    <w:p w14:paraId="20E54F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（二）过错责任与举证结构的失衡</w:t>
      </w:r>
    </w:p>
    <w:p w14:paraId="05DDEA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民法典对于隐私权侵权没有设置特殊的归责原则，</w:t>
      </w:r>
      <w:bookmarkStart w:id="0" w:name="_GoBack"/>
      <w:bookmarkEnd w:id="0"/>
      <w:r>
        <w:rPr>
          <w:rFonts w:asciiTheme="minorEastAsia" w:eastAsiaTheme="minorEastAsia" w:hAnsiTheme="minorEastAsia" w:cstheme="minorEastAsia" w:hint="eastAsia"/>
        </w:rPr>
        <w:t>一般适用过错责任。但是网络环境当中适用这一原则会存在结构上的信息不对称。侵权行为的发生一般都离不开算法、平台后台、跨境服务器这样的技术，信息主体很难证明处理者存在过错，即便是能够发现侵权并找到侵权者，甚至在收集证据之前就已经陷入了困境。学界对此已经有所反思，在个人信息侵权上提出了过错责任或者建立过错和无过错并存的双轨制归责方式，并且认为个人信息保护法过错推定规则同民法典隐私权规则之间存在着矛盾</w:t>
      </w:r>
      <w:r>
        <w:rPr>
          <w:rFonts w:asciiTheme="minorEastAsia" w:hAnsiTheme="minorEastAsia" w:cstheme="minorEastAsia" w:hint="default"/>
          <w:vertAlign w:val="superscript"/>
          <w:lang w:val="en-US" w:eastAsia="zh-CN"/>
        </w:rPr>
        <w:t>[</w:t>
      </w:r>
      <w:r>
        <w:rPr>
          <w:rFonts w:asciiTheme="minorEastAsia" w:hAnsiTheme="minorEastAsia" w:cstheme="minorEastAsia" w:hint="eastAsia"/>
          <w:vertAlign w:val="superscript"/>
          <w:lang w:val="en-US" w:eastAsia="zh-CN"/>
        </w:rPr>
        <w:t>5</w:t>
      </w:r>
      <w:r>
        <w:rPr>
          <w:rFonts w:asciiTheme="minorEastAsia" w:hAnsiTheme="minorEastAsia" w:cstheme="minorEastAsia" w:hint="default"/>
          <w:vertAlign w:val="superscript"/>
          <w:lang w:val="en-US" w:eastAsia="zh-CN"/>
        </w:rPr>
        <w:t>]</w:t>
      </w:r>
      <w:r>
        <w:rPr>
          <w:rFonts w:asciiTheme="minorEastAsia" w:eastAsiaTheme="minorEastAsia" w:hAnsiTheme="minorEastAsia" w:cstheme="minorEastAsia" w:hint="eastAsia"/>
        </w:rPr>
        <w:t>。但问题是，私密信息恰恰处在第1034条规定的隐私权规则之下，在隐私权规则中并没有与个人信息保护法相当的举证减轻机制。规范设计的目的在于对私密信息给予更强的保护，但是实际的诉讼中，由于归责原则的设置，反而会造成“更强保护”的落空。</w:t>
      </w:r>
    </w:p>
    <w:p w14:paraId="4771D0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（三）平台义务的事后性与规模化侵权的预防需求</w:t>
      </w:r>
    </w:p>
    <w:p w14:paraId="63F89B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民法典》第1195条至第1197条保持“通知—删除”模式，网络服务提供者收到通知后没有及时采取必要的措施，对损害扩大的部分承担连带责任；第1197条规定以“知道或者应当知道”为承担连带责任的主观要件。该模式对于个案化侵权内容是合理的，但是对于“开盒”“人脸信息批量交易”等规模化的、自动化的侵权行为来说，却存在很大的缺陷，损害在通知发出之前就已经造成了广泛的扩散，事后删除已经不能挽回信息被复制、下载、二次传播的事实，“应当知道”的判断标准在算法推荐和自动处理的情形下更是难以操作。平台处于权利和义务不对等的境地，它有最好的技术控制力、最好的风险预估能力，但是根据目前的义务结构，它所承担的义务就是被动的响应者。检察公益诉讼近些年来在个人信息保护领域的探索，以“网络开盒”行为提起民事公益诉讼为例，从侧面反映了个人在面对大规模侵权时的私法救济的不足之处，也表明平台义务的重点应该从“消除已经造成的损害”转向“防范可以预见的系统性风险”。</w:t>
      </w:r>
    </w:p>
    <w:p w14:paraId="768EE7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lang w:val="en-US" w:eastAsia="zh-CN"/>
        </w:rPr>
        <w:t>三</w:t>
      </w:r>
      <w:r>
        <w:rPr>
          <w:rFonts w:asciiTheme="minorEastAsia" w:eastAsiaTheme="minorEastAsia" w:hAnsiTheme="minorEastAsia" w:cstheme="minorEastAsia" w:hint="eastAsia"/>
        </w:rPr>
        <w:t>、民法保护机制的完善路径</w:t>
      </w:r>
    </w:p>
    <w:p w14:paraId="2FD68D0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（一）以“合理期待＋场景风险”充实私密信息认定</w:t>
      </w:r>
    </w:p>
    <w:p w14:paraId="5E016B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私密信息的认定不能是单一的抽象定义，而应该走向结构化的场景判断。可以参照“合理期待”的理论核心，私密性不是信息本身所具有的物理特征，而是主体在一定的社会关系、交往目的和一定的技术环境之下形成的一种规范性期待，而不是主观上的一种期待。在此基础上还要加上“场景风险”，即根据信息的聚合程度、传播链条是否可控制、处理行为目的和结果是否超出原始情境等来综合考量。碎片化的定位信息虽然单独看来不是私密信息，但是如果把碎片化的位置信息和其它的数据结合起来可以还原一个人的生活轨迹，那么就需要优先适用隐私权规则来处理了；匿名化处理如果由于多源数据聚合而再度具备可识别性，也不能轻易否定它所具有的私密性质。该路径并不是取代个案裁判的手段，而是为裁判提供可以预期、可以论辩的分析结构，减少私密信息认定的随意性，同时又要保持其动态性，随着技术场景的变化而变化，不能用静态的信息类型来固定隐私边界，也不能违背《民法典》第1032条保护私人生活安宁的规范目的。</w:t>
      </w:r>
    </w:p>
    <w:p w14:paraId="7B88CF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（二）在私密信息侵权中适度引入过错推定</w:t>
      </w:r>
    </w:p>
    <w:p w14:paraId="640854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归责原则的调整不能以放弃过错责任为代价，比较务实的做法就是，在私密信息侵权案件中，由信息主体证明侵害行为与损害结果的存在，将“无过错”证明的负担转移到处理者身上，即适度实行过错推定。与《个人信息保护法》第69条的过错推定逻辑一致，也是民法典第1034条第三款将私密信息置于隐私权规则下保护的用意，如果私密信息理应得到比一般个人信息更高的保护强度，那么私密信息在举证结构上也不能处在劣势。否则规范上对隐私权的优先适用，在实际诉讼中因为举证的困难而落空。非私密的一般个人信息应当继续适用民法典第1165条规定的过错责任原则，但是需要通过司法实践逐步确定“过错”判断的要件，即处理目的、技术能力、合规情况、损害可预见性等，防止出现证明标准低下的问题。过错推定并不是结果责任，处理者可以证明已经履行了法定或者合理的注意义务来免除责任，使网络环境下信息主体得到有效的保护，并且也能使处理者在合理利用的基础上保持一定的控制能力，从而实现举证负担与网络场景中信息控制能力的匹配。</w:t>
      </w:r>
    </w:p>
    <w:p w14:paraId="5C79C3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（三）平台义务从事后移除向风险预防延伸</w:t>
      </w:r>
    </w:p>
    <w:p w14:paraId="5136ED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在保留通知删除规则的基础上，应当依靠解释论促使平台义务的实质化。民法典第1195条至第1197条为通知触发、必要措施的内容设置责任机制，但对于大规模、自动化侵权而言，完全依靠事后删除无法消除损害的蔓延。第1197条中“应当知道”的认定应当考虑平台的处理规模、算法的推荐机制、侵权行为发生频率和可预见性等要素，进而形成类型化的注意义务标准，即对于已经出现反复侵权模式的信息类型或者处理场景，平台负有比一般侵权更多的主动监测、风险提示的义务。平台对于私密信息的保护应该被视作是“守门人”的角色，应该把平台对于数据最小化的设计、默认隐私保护以及高风险处理活动的风险评价作为考虑因素，使民事责任与前置性合规义务之间形成衔接，而不是只在损害发生之后再做事后分配。可以避免给平台加上不切实际的普遍审查义务，又可以促使技术控制力最强的主体对自身的风险预估能力负起责任，进而使网络隐私保护的事前工作更加有效。</w:t>
      </w:r>
    </w:p>
    <w:p w14:paraId="6477A0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（四）激活公益诉讼的补充性救济功能</w:t>
      </w:r>
    </w:p>
    <w:p w14:paraId="3BA3F6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个体诉讼在网络隐私领域存在发现难、举证难、成本高这三种结构上的障碍，公益诉讼的价值不是代替私法救济，而是填补规模化侵权中缺少个体救济的空白。检察机关针对“网络开盒”“人脸信息非法买卖”等案件提起民事公益诉讼之后，便体现出该路径的可行之处，不过其制度潜力还有待进一步挖掘。需要明确的是公益诉讼和个体诉权之间衔接规则，公益诉讼确认的事实及责任认定，在个体后续损害赔偿之诉中是否可以产生一定的预决效力；惩罚性赔偿在隐私侵权公益诉讼中适用的条件和范围怎样确定；公益诉讼所得赔偿金如何管理、分配并用以保护隐私治理。若不加以解决，公益诉讼就只能停留在“停止侵害”的层次上，很难起到对潜在侵权者有效的经济震慑作用。还要发展检察机关支持起诉、社会组织提起公益诉讼等多种途径，形成层次分明、分工明确的救济网络，使民法在网络化的规模化侵权面前保持一定的回应力，促进公益救济同私益救济的程序和实体衔接。</w:t>
      </w:r>
    </w:p>
    <w:p w14:paraId="24803F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结语</w:t>
      </w:r>
    </w:p>
    <w:p w14:paraId="6459F69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民法典》给网络隐私权提供的民法保护，它的实际力量并不是第1032条中“自然人享有隐私权”这句宣示的，而是由第1034条构成的分层筛选机制。但一个把私密性当作入口的体系，如果入口本身不清楚，如果进入之后救济途径又因为举证失衡而狭窄难行，那么再精细的规范分层也难以产生实际的保护效果。网络隐私的民法保护不需要从头开始，而是在已有的框架基础上进行三个重要的“补强”工作，即把私密信息认定从概念之争变成场景化的可操作标准，把归责原则的设置同信息权力现实差距进行匹配，把平台责任从被动事后监督转变为事前预防。只有这样，民法典人格权编的规范承诺才会在网络空间里变成可以被感知、被主张、可以实现的隐私权。</w:t>
      </w:r>
    </w:p>
    <w:p w14:paraId="120765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cstheme="minorEastAsia" w:hint="eastAsia"/>
          <w:lang w:val="en-US" w:eastAsia="zh-CN"/>
        </w:rPr>
      </w:pPr>
      <w:r>
        <w:rPr>
          <w:rFonts w:asciiTheme="minorEastAsia" w:hAnsiTheme="minorEastAsia" w:cstheme="minorEastAsia" w:hint="eastAsia"/>
          <w:lang w:val="en-US" w:eastAsia="zh-CN"/>
        </w:rPr>
        <w:t>参考文献：</w:t>
      </w:r>
    </w:p>
    <w:p w14:paraId="227434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cstheme="minorEastAsia" w:hint="default"/>
          <w:lang w:val="en-US" w:eastAsia="zh-CN"/>
        </w:rPr>
      </w:pPr>
      <w:r>
        <w:rPr>
          <w:rFonts w:asciiTheme="minorEastAsia" w:hAnsiTheme="minorEastAsia" w:cstheme="minorEastAsia" w:hint="default"/>
          <w:lang w:val="en-US" w:eastAsia="zh-CN"/>
        </w:rPr>
        <w:t>[1]刘晓强.网络隐私权保护研究[D].中国人民公安大学,2025.</w:t>
      </w:r>
    </w:p>
    <w:p w14:paraId="63B4D2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cstheme="minorEastAsia" w:hint="default"/>
          <w:lang w:val="en-US" w:eastAsia="zh-CN"/>
        </w:rPr>
      </w:pPr>
      <w:r>
        <w:rPr>
          <w:rFonts w:asciiTheme="minorEastAsia" w:hAnsiTheme="minorEastAsia" w:cstheme="minorEastAsia" w:hint="default"/>
          <w:lang w:val="en-US" w:eastAsia="zh-CN"/>
        </w:rPr>
        <w:t>[2]吕子君.未成年人网络隐私权的法律保护研究[D].陕西理工大学,2024.</w:t>
      </w:r>
    </w:p>
    <w:p w14:paraId="266913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cstheme="minorEastAsia" w:hint="default"/>
          <w:lang w:val="en-US" w:eastAsia="zh-CN"/>
        </w:rPr>
      </w:pPr>
      <w:r>
        <w:rPr>
          <w:rFonts w:asciiTheme="minorEastAsia" w:hAnsiTheme="minorEastAsia" w:cstheme="minorEastAsia" w:hint="default"/>
          <w:lang w:val="en-US" w:eastAsia="zh-CN"/>
        </w:rPr>
        <w:t>[3]梁桂鑫.网络隐私权的民法保护问题研究[D].吉林财经大学,2024.</w:t>
      </w:r>
    </w:p>
    <w:p w14:paraId="3A6A723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cstheme="minorEastAsia" w:hint="default"/>
          <w:lang w:val="en-US" w:eastAsia="zh-CN"/>
        </w:rPr>
      </w:pPr>
      <w:r>
        <w:rPr>
          <w:rFonts w:asciiTheme="minorEastAsia" w:hAnsiTheme="minorEastAsia" w:cstheme="minorEastAsia" w:hint="default"/>
          <w:lang w:val="en-US" w:eastAsia="zh-CN"/>
        </w:rPr>
        <w:t>[</w:t>
      </w:r>
      <w:r>
        <w:rPr>
          <w:rFonts w:asciiTheme="minorEastAsia" w:hAnsiTheme="minorEastAsia" w:cstheme="minorEastAsia" w:hint="eastAsia"/>
          <w:lang w:val="en-US" w:eastAsia="zh-CN"/>
        </w:rPr>
        <w:t>4</w:t>
      </w:r>
      <w:r>
        <w:rPr>
          <w:rFonts w:asciiTheme="minorEastAsia" w:hAnsiTheme="minorEastAsia" w:cstheme="minorEastAsia" w:hint="default"/>
          <w:lang w:val="en-US" w:eastAsia="zh-CN"/>
        </w:rPr>
        <w:t>]姚兵,谢龙.《民法典》视角下网络隐私权的法律保护[J].武汉冶金管理干部学院学报,2022,32(3):24-28.</w:t>
      </w:r>
    </w:p>
    <w:p w14:paraId="6EAD4F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cstheme="minorEastAsia" w:hint="default"/>
          <w:lang w:val="en-US" w:eastAsia="zh-CN"/>
        </w:rPr>
      </w:pPr>
      <w:r>
        <w:rPr>
          <w:rFonts w:asciiTheme="minorEastAsia" w:hAnsiTheme="minorEastAsia" w:cstheme="minorEastAsia" w:hint="default"/>
          <w:lang w:val="en-US" w:eastAsia="zh-CN"/>
        </w:rPr>
        <w:t>[</w:t>
      </w:r>
      <w:r>
        <w:rPr>
          <w:rFonts w:asciiTheme="minorEastAsia" w:hAnsiTheme="minorEastAsia" w:cstheme="minorEastAsia" w:hint="eastAsia"/>
          <w:lang w:val="en-US" w:eastAsia="zh-CN"/>
        </w:rPr>
        <w:t>5</w:t>
      </w:r>
      <w:r>
        <w:rPr>
          <w:rFonts w:asciiTheme="minorEastAsia" w:hAnsiTheme="minorEastAsia" w:cstheme="minorEastAsia" w:hint="default"/>
          <w:lang w:val="en-US" w:eastAsia="zh-CN"/>
        </w:rPr>
        <w:t>]乔硕.大数据时代隐私权保护研究: 以《民法典》为视角[D].北京交通大学,2022.</w:t>
      </w:r>
    </w:p>
    <w:p w14:paraId="445814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cstheme="minorEastAsia" w:hint="default"/>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305FA9"/>
    <w:rsid w:val="1D596BD7"/>
    <w:rsid w:val="24911365"/>
    <w:rsid w:val="249E37DE"/>
    <w:rsid w:val="29C747FF"/>
    <w:rsid w:val="2BE921EE"/>
    <w:rsid w:val="2C42327B"/>
    <w:rsid w:val="38D83FB2"/>
    <w:rsid w:val="5BCE40C9"/>
    <w:rsid w:val="67917B37"/>
    <w:rsid w:val="698811AC"/>
    <w:rsid w:val="76CC11EA"/>
    <w:rsid w:val="7EA66A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69</Words>
  <Characters>77</Characters>
  <Application>Microsoft Office Word</Application>
  <DocSecurity>0</DocSecurity>
  <Lines>0</Lines>
  <Paragraphs>0</Paragraphs>
  <ScaleCrop>false</ScaleCrop>
  <Company/>
  <LinksUpToDate>false</LinksUpToDate>
  <CharactersWithSpaces>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不在奢求</cp:lastModifiedBy>
  <cp:revision>0</cp:revision>
  <dcterms:created xsi:type="dcterms:W3CDTF">2025-04-29T11:07:00Z</dcterms:created>
  <dcterms:modified xsi:type="dcterms:W3CDTF">2026-11-03T02:01:43Z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