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0876BA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color w:val="C00000"/>
          <w:lang w:val="en-US" w:eastAsia="zh-CN"/>
        </w:rPr>
      </w:pPr>
      <w:r>
        <w:rPr>
          <w:rFonts w:hint="eastAsia"/>
          <w:color w:val="C00000"/>
          <w:lang w:val="en-US" w:eastAsia="zh-CN"/>
        </w:rPr>
        <w:t>隐患治理、应急演练、风险辨识等工作在该结构中被统一安排为计划和实施，在安全生产工作的组织模式上，由以前单一的安全部门独当一面变为党委统筹、部门配合、全员参与的治理格局，安全生产治理系统性、整体性明显增强。依靠这样的组织网络可以迅速组织起骨干人员应对突发事件，使治理方式由原来的“事后处理”转变为“事前识别、分级管控”，向着现代化的方向发展。依靠纵向贯通的组织体系，把党的严密组织优势转化为多专业协作、上下贯通的安全治理组织效能，消除分散治理向系统治理转变的组织障碍。</w:t>
      </w:r>
    </w:p>
    <w:p w14:paraId="0D0E7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color w:val="C00000"/>
          <w:lang w:val="en-US" w:eastAsia="zh-CN"/>
        </w:rPr>
      </w:pPr>
      <w:r>
        <w:rPr>
          <w:rFonts w:hint="eastAsia"/>
          <w:color w:val="C00000"/>
          <w:lang w:val="en-US" w:eastAsia="zh-CN"/>
        </w:rPr>
        <w:t>三、党政融合助推安全治理现代化的实施策略</w:t>
      </w:r>
    </w:p>
    <w:p w14:paraId="0B136E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color w:val="C00000"/>
          <w:lang w:val="en-US" w:eastAsia="zh-CN"/>
        </w:rPr>
      </w:pPr>
      <w:r>
        <w:rPr>
          <w:rFonts w:hint="eastAsia"/>
          <w:color w:val="C00000"/>
          <w:lang w:val="en-US" w:eastAsia="zh-CN"/>
        </w:rPr>
        <w:t>（一）铸魂工程：以理论武装铸牢安全思想共识</w:t>
      </w:r>
    </w:p>
    <w:p w14:paraId="1AFB5255">
      <w:pPr>
        <w:rPr>
          <w:rFonts w:hint="eastAsia"/>
          <w:color w:val="C00000"/>
          <w:lang w:val="en-US" w:eastAsia="zh-CN"/>
        </w:rPr>
      </w:pPr>
      <w:r>
        <w:rPr>
          <w:rFonts w:hint="eastAsia"/>
          <w:color w:val="C00000"/>
          <w:lang w:val="en-US" w:eastAsia="zh-CN"/>
        </w:rPr>
        <w:t>思想是行动的先驱，党政融合推进安全治理现代化要从思想认识的统一开始。矿山要把习近平总书记关于安全生产重要论述当作党委中心组学习、支部主题党日、职工日常教育的必修课，用典型案例剖析、情景教学、现场说法等形式把安全理念从“文件语言”转化为职工能听懂、能记住、能用得上的“岗位语言”。</w:t>
      </w:r>
    </w:p>
    <w:p w14:paraId="7E2EEABC">
      <w:pPr>
        <w:rPr>
          <w:rFonts w:hint="eastAsia"/>
          <w:color w:val="C00000"/>
          <w:lang w:val="en-US" w:eastAsia="zh-CN"/>
        </w:rPr>
      </w:pPr>
    </w:p>
    <w:p w14:paraId="59E60D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color w:val="C00000"/>
          <w:lang w:val="en-US" w:eastAsia="zh-CN"/>
        </w:rPr>
      </w:pPr>
      <w:r>
        <w:rPr>
          <w:rFonts w:hint="eastAsia"/>
          <w:color w:val="C00000"/>
          <w:lang w:val="en-US" w:eastAsia="zh-CN"/>
        </w:rPr>
        <w:t>党组织跟进履职纪实工作是通过现场写实、跟班记录、隐患台账记载党员的履职情况，把履职成果同评优评先、岗位奖励直接挂钩，促使党员把安全责任从纸上落实到井下现场的具体行动，解决安全责任落实到“最后一公里”的“最后一公里”。同步完善支部间的结对包保制度，生产条件好的支部对口帮扶灾害多、管控压力大的区队支部，互相交流经验、共同担责，不断改善基层班组的安全管控薄弱环节。以党组织责任传导体系为依托，将组织管理的优势变成无空档、可查证的岗位安全责任管控能力，解决安全责任层层弱化的难题。</w:t>
      </w:r>
    </w:p>
    <w:p w14:paraId="4586C3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color w:val="C00000"/>
          <w:lang w:val="en-US" w:eastAsia="zh-CN"/>
        </w:rPr>
      </w:pPr>
      <w:r>
        <w:rPr>
          <w:rFonts w:hint="eastAsia"/>
          <w:color w:val="C00000"/>
          <w:lang w:val="en-US" w:eastAsia="zh-CN"/>
        </w:rPr>
        <w:t>（三）增效工程：以机制创新提升安全治理效能</w:t>
      </w:r>
    </w:p>
    <w:p w14:paraId="1187432C">
      <w:pPr>
        <w:rPr>
          <w:rFonts w:hint="eastAsia"/>
          <w:color w:val="C00000"/>
          <w:lang w:val="en-US" w:eastAsia="zh-CN"/>
        </w:rPr>
      </w:pPr>
      <w:r>
        <w:rPr>
          <w:rFonts w:hint="eastAsia"/>
          <w:color w:val="C00000"/>
          <w:lang w:val="en-US" w:eastAsia="zh-CN"/>
        </w:rPr>
        <w:t>机制是把理念和实践联结起来的纽带，党政融合所取得的成果要靠有效的机制来巩固。矿山要创建“党建+安全”深度融合发展运行机制，将党支部战斗堡垒作用考核同安全生产绩效直接挂钩，实行“一票否决”与“正向激励”相结合的考核制度，建立安全风险党员联控机制，组织党员骨干对重点区域、薄弱环节进行挂牌包保，实行动态盯防，创建隐患问题党组织督办制度，对排查出来的重大隐患实行党组织书记领办，限期销号，依靠组织权威落实隐患整改责任。以党员先锋队、青年突击队等为依托，以智能化巡检、灾害防治为主要攻坚方向，把组织动员的优势转化为解决安全问题的实在力量，让党建工作成果有形、有质、有感。</w:t>
      </w:r>
      <w:bookmarkStart w:id="0" w:name="_GoBack"/>
      <w:bookmarkEnd w:id="0"/>
    </w:p>
    <w:sectPr>
      <w:footerReference w:type="default" r:id="rId5"/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3B5B9490"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1" name="文本框 6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o:spid="_x0000_s2049" type="#_x0000_t202" style="width:2in;height:2in;margin-top:0;margin-left:0;mso-height-relative:page;mso-position-horizontal:center;mso-position-horizontal-relative:margin;mso-width-relative:page;mso-wrap-style:none;position:absolute;z-index:251661312" coordsize="21600,21600" filled="f" stroked="f">
              <o:lock v:ext="edit" aspectratio="f"/>
              <v:textbox style="mso-fit-shape-to-text:t" inset="0,0,0,0">
                <w:txbxContent>
                  <w:p w14:paraId="7E4A7E4A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5" name="文本框 5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hint="eastAsia"/>
                              <w:lang w:val="en-US" w:eastAsia="zh-CN"/>
                            </w:rPr>
                          </w:pPr>
                        </w:p>
                        <w:p>
                          <w:pPr>
                            <w:pStyle w:val="Footer"/>
                            <w:rPr>
                              <w:rFonts w:hint="default"/>
                              <w:lang w:val="en-US" w:eastAsia="zh-CN"/>
                            </w:rPr>
                          </w:pPr>
                        </w:p>
                        <w:p>
                          <w:pPr>
                            <w:pStyle w:val="Footer"/>
                            <w:rPr>
                              <w:rFonts w:hint="eastAsia"/>
                              <w:lang w:val="en-US"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2050" type="#_x0000_t202" style="width:2in;height:2in;margin-top:0;margin-left:0;mso-height-relative:page;mso-position-horizontal:center;mso-position-horizontal-relative:margin;mso-width-relative:page;mso-wrap-style:none;position:absolute;z-index:251659264" coordsize="21600,21600" filled="f" stroked="f">
              <o:lock v:ext="edit" aspectratio="f"/>
              <v:textbox style="mso-fit-shape-to-text:t" inset="0,0,0,0">
                <w:txbxContent>
                  <w:p w14:paraId="15101A80">
                    <w:pPr>
                      <w:pStyle w:val="Footer"/>
                      <w:rPr>
                        <w:rFonts w:hint="eastAsia"/>
                        <w:lang w:val="en-US" w:eastAsia="zh-CN"/>
                      </w:rPr>
                    </w:pPr>
                  </w:p>
                  <w:p w14:paraId="33616060">
                    <w:pPr>
                      <w:pStyle w:val="Footer"/>
                      <w:rPr>
                        <w:rFonts w:hint="default"/>
                        <w:lang w:val="en-US" w:eastAsia="zh-CN"/>
                      </w:rPr>
                    </w:pPr>
                  </w:p>
                  <w:p w14:paraId="0315B87E">
                    <w:pPr>
                      <w:pStyle w:val="Footer"/>
                      <w:rPr>
                        <w:rFonts w:hint="eastAsia"/>
                        <w:lang w:val="en-US" w:eastAsia="zh-C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2B7D89"/>
    <w:rsid w:val="037C729A"/>
    <w:rsid w:val="03D64084"/>
    <w:rsid w:val="04E40EF7"/>
    <w:rsid w:val="05253443"/>
    <w:rsid w:val="057529DA"/>
    <w:rsid w:val="062D6B9D"/>
    <w:rsid w:val="06AB06FE"/>
    <w:rsid w:val="078D0641"/>
    <w:rsid w:val="0951022B"/>
    <w:rsid w:val="0B1565EA"/>
    <w:rsid w:val="0DC67402"/>
    <w:rsid w:val="0E6025CB"/>
    <w:rsid w:val="0FC53CE9"/>
    <w:rsid w:val="10264A11"/>
    <w:rsid w:val="10FC7A0C"/>
    <w:rsid w:val="110A3A14"/>
    <w:rsid w:val="1384217A"/>
    <w:rsid w:val="15BC4E5A"/>
    <w:rsid w:val="16D503E4"/>
    <w:rsid w:val="17760B6F"/>
    <w:rsid w:val="19D46BCE"/>
    <w:rsid w:val="1CCE1EE1"/>
    <w:rsid w:val="1D072788"/>
    <w:rsid w:val="1D2E60DA"/>
    <w:rsid w:val="1D7C0E3E"/>
    <w:rsid w:val="1E11009B"/>
    <w:rsid w:val="1F5D5A23"/>
    <w:rsid w:val="21FB1255"/>
    <w:rsid w:val="23A93707"/>
    <w:rsid w:val="23EE5E61"/>
    <w:rsid w:val="24804BB5"/>
    <w:rsid w:val="259C73C6"/>
    <w:rsid w:val="26677593"/>
    <w:rsid w:val="26C15742"/>
    <w:rsid w:val="28FE7794"/>
    <w:rsid w:val="2B3207F8"/>
    <w:rsid w:val="2B592789"/>
    <w:rsid w:val="2B82123D"/>
    <w:rsid w:val="2B91176C"/>
    <w:rsid w:val="2C593256"/>
    <w:rsid w:val="2DFE0923"/>
    <w:rsid w:val="30C80E93"/>
    <w:rsid w:val="322F63DF"/>
    <w:rsid w:val="32566459"/>
    <w:rsid w:val="34A37A6F"/>
    <w:rsid w:val="350F525A"/>
    <w:rsid w:val="364F4412"/>
    <w:rsid w:val="396561F6"/>
    <w:rsid w:val="3A3027A5"/>
    <w:rsid w:val="3A634EC7"/>
    <w:rsid w:val="3F22501A"/>
    <w:rsid w:val="3FC0057A"/>
    <w:rsid w:val="40126F43"/>
    <w:rsid w:val="4191348B"/>
    <w:rsid w:val="425E118F"/>
    <w:rsid w:val="43716BA9"/>
    <w:rsid w:val="44E8418B"/>
    <w:rsid w:val="45C2510F"/>
    <w:rsid w:val="46F0277E"/>
    <w:rsid w:val="47B2458A"/>
    <w:rsid w:val="49136D17"/>
    <w:rsid w:val="49325F42"/>
    <w:rsid w:val="49DB1E04"/>
    <w:rsid w:val="49EE2B4D"/>
    <w:rsid w:val="4B7033E4"/>
    <w:rsid w:val="4F2B3B05"/>
    <w:rsid w:val="4F3D659F"/>
    <w:rsid w:val="52145EE2"/>
    <w:rsid w:val="538114A4"/>
    <w:rsid w:val="54AE5DAD"/>
    <w:rsid w:val="57CA584B"/>
    <w:rsid w:val="5AE22543"/>
    <w:rsid w:val="5BBD3D11"/>
    <w:rsid w:val="5C8F7981"/>
    <w:rsid w:val="5DBB53CC"/>
    <w:rsid w:val="5FD73794"/>
    <w:rsid w:val="60647EB6"/>
    <w:rsid w:val="609F1996"/>
    <w:rsid w:val="610C5BEA"/>
    <w:rsid w:val="649B63FC"/>
    <w:rsid w:val="653501C5"/>
    <w:rsid w:val="65E738CB"/>
    <w:rsid w:val="663E614C"/>
    <w:rsid w:val="668F66D2"/>
    <w:rsid w:val="66B70634"/>
    <w:rsid w:val="68FD5D5B"/>
    <w:rsid w:val="69A24D27"/>
    <w:rsid w:val="69D42CB8"/>
    <w:rsid w:val="6A333127"/>
    <w:rsid w:val="6B743AC4"/>
    <w:rsid w:val="6C227DB7"/>
    <w:rsid w:val="6CE2153C"/>
    <w:rsid w:val="70763F9A"/>
    <w:rsid w:val="72A638AD"/>
    <w:rsid w:val="72F85BFE"/>
    <w:rsid w:val="74555FFD"/>
    <w:rsid w:val="782A6906"/>
    <w:rsid w:val="78A155D2"/>
    <w:rsid w:val="79341B08"/>
    <w:rsid w:val="7A4E33A4"/>
    <w:rsid w:val="7A7A06ED"/>
    <w:rsid w:val="7AA4268F"/>
    <w:rsid w:val="7AEE6B12"/>
    <w:rsid w:val="7BA026E0"/>
    <w:rsid w:val="7BED6D2C"/>
    <w:rsid w:val="7D1559B4"/>
    <w:rsid w:val="7EDD65A0"/>
    <w:rsid w:val="7EEF3602"/>
    <w:rsid w:val="7F957DB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 w:qFormat="1"/>
    <w:lsdException w:name="header" w:semiHidden="0" w:uiPriority="0" w:unhideWhenUsed="0"/>
    <w:lsdException w:name="footer" w:semiHidden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 w:qFormat="1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 w:qFormat="1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qFormat/>
    <w:pPr>
      <w:jc w:val="left"/>
    </w:pPr>
  </w:style>
  <w:style w:type="paragraph" w:styleId="BodyTextIndent">
    <w:name w:val="Body Text Indent"/>
    <w:basedOn w:val="Normal"/>
    <w:qFormat/>
    <w:pPr>
      <w:spacing w:after="120" w:afterLines="0" w:afterAutospacing="0"/>
      <w:ind w:left="420" w:leftChars="200"/>
    </w:pPr>
  </w:style>
  <w:style w:type="paragraph" w:styleId="Footer">
    <w:name w:val="footer"/>
    <w:basedOn w:val="Normal"/>
    <w:uiPriority w:val="99"/>
    <w:qFormat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kern w:val="2"/>
      <w:sz w:val="18"/>
      <w:szCs w:val="18"/>
      <w:lang w:val="en-US" w:eastAsia="zh-CN" w:bidi="ar-SA"/>
    </w:r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BodyTextFirstIndent2">
    <w:name w:val="Body Text First Indent 2"/>
    <w:basedOn w:val="BodyTextIndent"/>
    <w:qFormat/>
    <w:pPr>
      <w:ind w:firstLine="420" w:firstLineChars="200"/>
    </w:pPr>
  </w:style>
  <w:style w:type="character" w:styleId="Strong">
    <w:name w:val="Strong"/>
    <w:basedOn w:val="DefaultParagraphFont"/>
    <w:qFormat/>
    <w:rPr>
      <w:b/>
    </w:rPr>
  </w:style>
  <w:style w:type="paragraph" w:customStyle="1" w:styleId="a">
    <w:name w:val="中文摘要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line="300" w:lineRule="exact"/>
      <w:jc w:val="both"/>
    </w:pPr>
    <w:rPr>
      <w:rFonts w:ascii="Times New Roman" w:eastAsia="宋体" w:hAnsi="Times New Roman" w:cs="Times New Roman"/>
      <w:color w:val="000000"/>
      <w:kern w:val="0"/>
      <w:sz w:val="18"/>
      <w:szCs w:val="18"/>
      <w:lang w:val="zh-CN"/>
      <w14:ligatures w14:val="none"/>
    </w:rPr>
  </w:style>
  <w:style w:type="paragraph" w:customStyle="1" w:styleId="1">
    <w:name w:val="节题1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after="120" w:afterLines="50" w:line="314" w:lineRule="atLeast"/>
      <w:jc w:val="both"/>
    </w:pPr>
    <w:rPr>
      <w:rFonts w:ascii="Times New Roman" w:eastAsia="宋体" w:hAnsi="Times New Roman" w:cs="Times New Roman"/>
      <w:b/>
      <w:bCs/>
      <w:sz w:val="24"/>
      <w14:ligatures w14:val="none"/>
    </w:rPr>
  </w:style>
  <w:style w:type="paragraph" w:customStyle="1" w:styleId="ParaCharCharCharCharCharCharChar">
    <w:name w:val="默认段落字体 Para Char Char Char Char Char Char Char"/>
    <w:basedOn w:val="Normal"/>
    <w:qFormat/>
    <w:rPr>
      <w:rFonts w:ascii="Tahoma" w:hAnsi="Tahoma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910</Words>
  <Characters>910</Characters>
  <Application>Microsoft Office Word</Application>
  <DocSecurity>0</DocSecurity>
  <Lines>0</Lines>
  <Paragraphs>0</Paragraphs>
  <ScaleCrop>false</ScaleCrop>
  <Company/>
  <LinksUpToDate>false</LinksUpToDate>
  <CharactersWithSpaces>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静静听风声（王）</cp:lastModifiedBy>
  <cp:revision>0</cp:revision>
  <dcterms:created xsi:type="dcterms:W3CDTF">2026-10-19T09:01:00Z</dcterms:created>
  <dcterms:modified xsi:type="dcterms:W3CDTF">2026-11-03T02:14:58Z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713453A1D4604D6CBBCC87AEFF6CC3BC_12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