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5482106">
      <w:pPr>
        <w:jc w:val="center"/>
        <w:rPr>
          <w:rFonts w:hint="eastAsia"/>
        </w:rPr>
      </w:pPr>
      <w:r>
        <w:rPr>
          <w:rFonts w:hint="eastAsia"/>
        </w:rPr>
        <w:t>数智时代小学道德与法治教学的机遇与挑战</w:t>
      </w:r>
    </w:p>
    <w:p w14:paraId="28D5F10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w:t>
      </w:r>
    </w:p>
    <w:p w14:paraId="7E79E9F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生成式人工智能、虚拟仿真和学习分析等技术由原来的课堂上帮助教师教学的工具，渐渐变成教学环境的组成部分。对于小学道德与法治而言，它给予情境可以进入、内容可以更新、学情可以诊断、实践可以延续的新机遇，也产生了价值判断外包、道德体验被剥离、德性评价量化、儿童数据越界等难题，背后的原因是德育的生成逻辑和效率逻辑存在矛盾。因此提出了划定技术进场三条边界、构建“境-思-行”三个层次的教学、推行“证据加叙事”的双轨评价、创建数字公民素养螺旋式单元、创建人机协同备课三审机制等途径来为一线教学提供</w:t>
      </w:r>
      <w:r>
        <w:rPr>
          <w:rFonts w:hint="eastAsia"/>
          <w:lang w:val="en-US" w:eastAsia="zh-CN"/>
        </w:rPr>
        <w:t>参考</w:t>
      </w:r>
      <w:r>
        <w:rPr>
          <w:rFonts w:hint="eastAsia"/>
        </w:rPr>
        <w:t>。</w:t>
      </w:r>
    </w:p>
    <w:p w14:paraId="71C4AA8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rPr>
        <w:t>【关键词】数智时代；小学道德与法治；</w:t>
      </w:r>
      <w:r>
        <w:rPr>
          <w:rFonts w:hint="eastAsia"/>
          <w:lang w:val="en-US" w:eastAsia="zh-CN"/>
        </w:rPr>
        <w:t>机遇；挑战</w:t>
      </w:r>
    </w:p>
    <w:p w14:paraId="5C0C528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人工智能飞速发展正在改变教育的面貌，也带来了诸多的机遇与挑战¹。对小学而言，这种重塑已有明确的制度边界。2025年5月教育部基础教育教学指导委员会下发了《中小学生成式人工智能使用指南(2025年版)》的通知，明确小学学生不单独使用开放式内容生成功能，教师可在课堂上合理使用辅助教学，但是不能让生成式人工智能代替教师的教学主体地位。技术进入小学课堂的主要途径就落在教师身上，教师怎样判断，怎样取舍，会直接影响技术能否在课堂上起到促进的作用。</w:t>
      </w:r>
    </w:p>
    <w:p w14:paraId="6804F9A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道德与法治是一门以价值观为主导的课程。十几年来，关于信息技术与本学科深度融合的讨论大多集中于多媒体展示、微课制作、课件互动上，解决了的是“讲得生动些”的问题，在教育信息化的阶段已经得到了基本的解答。数智时代所提出的是另外一种问题，当机器可以对话、可以产生情境、甚至可以做出价值判断的时候，一门以价值教育为使命的课程应该由技术做什么、不做什么。小学生道德发展正处在由他律到自律过渡的时候，容易把权威的说教当作对错的标准，也就会同时放大技术的利弊。</w:t>
      </w:r>
    </w:p>
    <w:p w14:paraId="40B89BE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二、数智时代小学道德与法治教学的新机遇</w:t>
      </w:r>
    </w:p>
    <w:p w14:paraId="2AA9C31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（一）情境构建由讲述转向进入</w:t>
      </w:r>
    </w:p>
    <w:p w14:paraId="54DE6F5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道德两难情境是本学科常用的材料，但是长久以来依靠教材插图和教师的讲述，使情境是固定的、唯一的，学生听过之后很少进入情境。生成式人工智能可以使得教师在上课之前就可以生成同一冲突的不同变体，人物、场景、情节各有不同，但价值冲突的实质是一致的。变式价值在于促进迁移，学生面对不同的表面情境反复辨认一类道德问题的时候，他们的判断就不会只是记住一个故事的答案，而会真正去体会一类事情。教师可以将变式改写成本地化的版本，城中村、乡镇集市、小区楼道等学生熟悉的地方可以进入课堂。</w:t>
      </w:r>
    </w:p>
    <w:p w14:paraId="597037A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（二）内容供给由静态教材转向动态资源</w:t>
      </w:r>
    </w:p>
    <w:p w14:paraId="61F0655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网络文明、网络保护的规则更新速度比教材的更新速度要快得多。以四</w:t>
      </w:r>
      <w:r>
        <w:rPr>
          <w:rFonts w:hint="eastAsia"/>
          <w:lang w:val="en-US" w:eastAsia="zh-CN"/>
        </w:rPr>
        <w:t>年级</w:t>
      </w:r>
      <w:r>
        <w:rPr>
          <w:rFonts w:hint="eastAsia"/>
        </w:rPr>
        <w:t>上册第三单元《生活在一个信息社会》为题的《安全文明上网》为例，在网络交</w:t>
      </w:r>
      <w:r>
        <w:rPr>
          <w:rFonts w:hint="eastAsia"/>
          <w:lang w:val="en-US" w:eastAsia="zh-CN"/>
        </w:rPr>
        <w:t>往、网络风</w:t>
      </w:r>
      <w:r>
        <w:rPr>
          <w:rFonts w:hint="eastAsia"/>
        </w:rPr>
        <w:t>险和文明上网方面本课以教材文本为基础，但是由于《未成年人网络保护条例》、网信部门出台的青少年网络陷阱典型案例以及平台青少年模式新规定等不断更新，不能完全涵盖教材中没有提及的新型网络风险，如短视频诱导充值、AI伪装熟人索取个人信息、网络群组言语欺凌等。教师可通过国家中小学智慧教育平台、国家网信办“净网”专项行动发布的科普材料、检察机关发布的未成年人网络保护典型案例来补充教材中没有提及的新型网络风险。</w:t>
      </w:r>
    </w:p>
    <w:p w14:paraId="1F44277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（三）学情把握由经验估计转向证据支持</w:t>
      </w:r>
    </w:p>
    <w:p w14:paraId="6F2D8AF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道德课堂上学生真实的答案被标准答案所掩盖。问到看见同学被欺负应该怎么办的时候，几乎所有的人都会回答告诉老师，但是这并不是他们在现场真的会做的决定。匿名投票、词云、课前情境问卷等工具可以很好地保护学生的同时也表现出了全班学生真实的认知分布情况，教师根据班级的实际情况来确定讨论的起点和追问的方向。课堂互动记录可以反映出发言的面广程度，给教师指明不发言的学生。数据被用来支撑教学设计，把教学建立在学生真实出发点的基础上，并不是对品德打分。</w:t>
      </w:r>
    </w:p>
    <w:p w14:paraId="05C3618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（四）道德践行由课内延伸到家校社场域</w:t>
      </w:r>
    </w:p>
    <w:p w14:paraId="54BE3E1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知行脱节是德育的老问题之一，课后践行无法追踪是其原因之一。数字成长档案与家校协同平台将劳动实践、家庭公约执行、社区志愿服务等所有的记录汇集起来，学生以文字或者语音的形式写下自己的反思，教师在下一节课上根据反思进行复盘。档案可以促使教师找到缺乏实践条件的学生，比如父母常年在外打工的留守儿童，学校应该有计划地给学生提供补偿性的活动。课堂四十分钟由学生生活与课堂连成一片。</w:t>
      </w:r>
    </w:p>
    <w:p w14:paraId="7B24883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三、数智时代小学道德与法治教学面临的挑战</w:t>
      </w:r>
    </w:p>
    <w:p w14:paraId="548FDD4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人工智能驱动的教育变革给教育带来了两种效应，即机会和风险</w:t>
      </w:r>
      <w:r>
        <w:rPr>
          <w:rFonts w:hint="eastAsia"/>
          <w:vertAlign w:val="superscript"/>
          <w:lang w:val="en-US" w:eastAsia="zh-CN"/>
        </w:rPr>
        <w:t>[2]</w:t>
      </w:r>
      <w:r>
        <w:rPr>
          <w:rFonts w:hint="eastAsia"/>
        </w:rPr>
        <w:t>。对小学道德与法治来说，风险不在于显眼的地方，而是在那些表面看起来很顺手的地方。</w:t>
      </w:r>
    </w:p>
    <w:p w14:paraId="661F000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（一）价值判断被悄然外包</w:t>
      </w:r>
    </w:p>
    <w:p w14:paraId="3E05026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生成式人工智能的回答有条理、有说服力，对于处在处在他律的阶段的小学生来说很容易成为新的“权威”。模型输出存在事实错误以及价值偏差，法治内容最敏感，引用过期的旧法条、混同不同的法域、对于某一具体案件做出绝对的断定都会造成。学生端的风险被有政策的约束，教师端的风险就更隐蔽了。教案、讨论问题、课堂总结语等一切内容都交给模型来完成，那么一节课的价值走向也就在不知不觉中被算法所塑造，教师从价值引领者变成了内容的传递者。</w:t>
      </w:r>
    </w:p>
    <w:p w14:paraId="063190F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（二）道德体验趋于离身</w:t>
      </w:r>
    </w:p>
    <w:p w14:paraId="38956A9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数智时代道德教育异化，偏离了人们对美好生活的一种价值追求</w:t>
      </w:r>
      <w:r>
        <w:rPr>
          <w:rFonts w:hint="eastAsia"/>
          <w:vertAlign w:val="superscript"/>
          <w:lang w:val="en-US" w:eastAsia="zh-CN"/>
        </w:rPr>
        <w:t>[3]</w:t>
      </w:r>
      <w:r>
        <w:rPr>
          <w:rFonts w:hint="eastAsia"/>
        </w:rPr>
        <w:t>。最直接的表现就是体验的离开。在虚拟的情境中帮助一位老人，和在楼道里扶一个真实的邻居是不一样的道德经验，后者包含了面对面的犹豫，身体上的付出以及对于后果的考虑。一些互动课件把道德选择做成一个点对选项的得星游戏，学生学会的是揣摩出题人意图，体会别人的处境的能力却并没有得到提升。屏幕停留越久，真实的交往就少一些，学生可以知道、会说，但是做不到。</w:t>
      </w:r>
    </w:p>
    <w:p w14:paraId="05852A7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（三）德性评价陷入量化</w:t>
      </w:r>
    </w:p>
    <w:p w14:paraId="475F274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德育积分、电子红花榜、打卡式践行在很多学校都是常态化的，便利的背后隐藏着表演性道德的危险。学生为了积分而做好事，家长为了打卡而拍照片，学生记录的也越来越充分，但是学生的目的也越来越不明朗。道德行为的价值是由动机和情境来决定的，同一件事情可以是出于善意也可以是出于自私，数不清。积分排名一公布，低分学生就会被贴上标签，与课程标准中健全人格的培养要求背道而驰。</w:t>
      </w:r>
    </w:p>
    <w:p w14:paraId="18B7349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（四）儿童数据面临越界</w:t>
      </w:r>
    </w:p>
    <w:p w14:paraId="5D9A7E0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课堂智能工具大都可采集声音、图像、文字，有些产品声称可以识别表情、分析注意力。中华人民共和国个人信息保护法将未满十四周岁的未成年人的个人信息作为敏感个人信息，处理时应当征得监护人的同意，所有的小学生都处在这一年龄段。在道德与法治课中情绪识别存在极大的问题，情绪的表达本身就是教学的内容，情绪被记录下来，就会使学生学会伪装。更重要的是，如果法治课本身违反了数据保护法律法规的要求，那么整个课堂本身就会成为一份反面教材。</w:t>
      </w:r>
    </w:p>
    <w:p w14:paraId="636240F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四、数智时代小学道德与法治教学的实践路径</w:t>
      </w:r>
    </w:p>
    <w:p w14:paraId="2F17090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rPr>
        <w:t>针对上述挑战，本文提出</w:t>
      </w:r>
      <w:r>
        <w:rPr>
          <w:rFonts w:hint="eastAsia"/>
          <w:lang w:val="en-US" w:eastAsia="zh-CN"/>
        </w:rPr>
        <w:t>四</w:t>
      </w:r>
      <w:r>
        <w:rPr>
          <w:rFonts w:hint="eastAsia"/>
        </w:rPr>
        <w:t>条相互衔接的路径</w:t>
      </w:r>
      <w:r>
        <w:rPr>
          <w:rFonts w:hint="eastAsia"/>
          <w:lang w:eastAsia="zh-CN"/>
        </w:rPr>
        <w:t>。</w:t>
      </w:r>
    </w:p>
    <w:p w14:paraId="4233869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（一）划定技术进场的三条边界</w:t>
      </w:r>
    </w:p>
    <w:p w14:paraId="60D5B56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技术是否使用得好，首先要看边界是否明确。第一条是价值判断不能外包，课堂上的结论是师生在对话中共同得出的，人工智能只给出材料、变式以及反方观点，并不会给出标准答案。第二条是道德体验不能取代，任何数字情境之后都要有真实的交流或者线下活动，建议一节课四十分钟的课中屏幕呈现不超过十五分钟。第三条是儿童的数据不能被超越，不能收集面部、声纹等生物特征，学生作品匿名化处理，有个人信息的活动事先告知监护人。</w:t>
      </w:r>
    </w:p>
    <w:p w14:paraId="498761A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三条边界要变成教师看得明白的规则，用绿</w:t>
      </w:r>
      <w:r>
        <w:rPr>
          <w:rFonts w:hint="eastAsia"/>
          <w:lang w:val="en-US" w:eastAsia="zh-CN"/>
        </w:rPr>
        <w:t>灯、</w:t>
      </w:r>
      <w:r>
        <w:rPr>
          <w:rFonts w:hint="eastAsia"/>
          <w:lang w:eastAsia="zh-CN"/>
        </w:rPr>
        <w:t>黄灯、红灯三挡来管理，并且随着技术及政策的变化不断更新。</w:t>
      </w:r>
    </w:p>
    <w:p w14:paraId="0C14A20C">
      <w:pPr>
        <w:keepNext w:val="0"/>
        <w:keepLines w:val="0"/>
        <w:pageBreakBefore w:val="0"/>
        <w:widowControl w:val="0"/>
        <w:kinsoku/>
        <w:wordWrap/>
        <w:overflowPunct/>
        <w:topLinePunct w:val="0"/>
        <w:autoSpaceDE/>
        <w:autoSpaceDN/>
        <w:bidi w:val="0"/>
        <w:adjustRightInd/>
        <w:snapToGrid/>
        <w:jc w:val="center"/>
        <w:textAlignment w:val="auto"/>
        <w:rPr>
          <w:rFonts w:hint="eastAsia"/>
          <w:lang w:eastAsia="zh-CN"/>
        </w:rPr>
      </w:pPr>
      <w:r>
        <w:rPr>
          <w:rFonts w:hint="eastAsia"/>
          <w:lang w:eastAsia="zh-CN"/>
        </w:rPr>
        <w:t>表1　小学道德与法治课堂数智工具分级使用清单</w:t>
      </w:r>
    </w:p>
    <w:tbl>
      <w:tblPr>
        <w:tblStyle w:val="TableGrid"/>
        <w:tblW w:w="839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46"/>
        <w:gridCol w:w="3126"/>
        <w:gridCol w:w="2364"/>
        <w:gridCol w:w="1960"/>
      </w:tblGrid>
      <w:tr w14:paraId="17498D78">
        <w:tblPrEx>
          <w:tblW w:w="839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46" w:type="dxa"/>
            <w:tcBorders>
              <w:top w:val="single" w:sz="4" w:space="0" w:color="000000"/>
              <w:left w:val="single" w:sz="4" w:space="0" w:color="000000"/>
              <w:bottom w:val="single" w:sz="4" w:space="0" w:color="000000"/>
              <w:right w:val="single" w:sz="4" w:space="0" w:color="000000"/>
              <w:tl2br w:val="nil"/>
            </w:tcBorders>
            <w:shd w:val="clear" w:color="auto" w:fill="DBE3F4" w:themeFill="accent1" w:themeFillTint="32"/>
            <w:vAlign w:val="center"/>
          </w:tcPr>
          <w:p w14:paraId="522CB3DF">
            <w:pPr>
              <w:keepNext w:val="0"/>
              <w:keepLines w:val="0"/>
              <w:pageBreakBefore w:val="0"/>
              <w:widowControl w:val="0"/>
              <w:kinsoku/>
              <w:wordWrap/>
              <w:overflowPunct/>
              <w:topLinePunct w:val="0"/>
              <w:autoSpaceDE/>
              <w:autoSpaceDN/>
              <w:bidi w:val="0"/>
              <w:adjustRightInd/>
              <w:snapToGrid/>
              <w:jc w:val="center"/>
              <w:textAlignment w:val="auto"/>
              <w:rPr>
                <w:rFonts w:hint="eastAsia"/>
                <w:b w:val="0"/>
                <w:color w:val="000000"/>
                <w:lang w:val="en-US" w:eastAsia="zh-CN"/>
              </w:rPr>
            </w:pPr>
            <w:r>
              <w:rPr>
                <w:rFonts w:hint="eastAsia"/>
                <w:b w:val="0"/>
                <w:color w:val="000000"/>
                <w:lang w:val="en-US" w:eastAsia="zh-CN"/>
              </w:rPr>
              <w:t>等级</w:t>
            </w:r>
          </w:p>
        </w:tc>
        <w:tc>
          <w:tcPr>
            <w:tcW w:w="3126" w:type="dxa"/>
            <w:tcBorders>
              <w:top w:val="single" w:sz="4" w:space="0" w:color="000000"/>
              <w:left w:val="single" w:sz="4" w:space="0" w:color="000000"/>
              <w:bottom w:val="single" w:sz="4" w:space="0" w:color="000000"/>
              <w:right w:val="single" w:sz="4" w:space="0" w:color="000000"/>
            </w:tcBorders>
            <w:shd w:val="clear" w:color="auto" w:fill="DBE3F4" w:themeFill="accent1" w:themeFillTint="32"/>
            <w:vAlign w:val="center"/>
          </w:tcPr>
          <w:p w14:paraId="5488262D">
            <w:pPr>
              <w:keepNext w:val="0"/>
              <w:keepLines w:val="0"/>
              <w:pageBreakBefore w:val="0"/>
              <w:widowControl w:val="0"/>
              <w:kinsoku/>
              <w:wordWrap/>
              <w:overflowPunct/>
              <w:topLinePunct w:val="0"/>
              <w:autoSpaceDE/>
              <w:autoSpaceDN/>
              <w:bidi w:val="0"/>
              <w:adjustRightInd/>
              <w:snapToGrid/>
              <w:jc w:val="center"/>
              <w:textAlignment w:val="auto"/>
              <w:rPr>
                <w:rFonts w:hint="eastAsia"/>
                <w:b w:val="0"/>
                <w:color w:val="000000"/>
                <w:lang w:val="en-US" w:eastAsia="zh-CN"/>
              </w:rPr>
            </w:pPr>
            <w:r>
              <w:rPr>
                <w:rFonts w:hint="eastAsia"/>
                <w:b w:val="0"/>
                <w:color w:val="000000"/>
                <w:lang w:val="en-US" w:eastAsia="zh-CN"/>
              </w:rPr>
              <w:t>适用工具与场景</w:t>
            </w:r>
          </w:p>
        </w:tc>
        <w:tc>
          <w:tcPr>
            <w:tcW w:w="2364" w:type="dxa"/>
            <w:tcBorders>
              <w:top w:val="single" w:sz="4" w:space="0" w:color="000000"/>
              <w:left w:val="single" w:sz="4" w:space="0" w:color="000000"/>
              <w:bottom w:val="single" w:sz="4" w:space="0" w:color="000000"/>
              <w:right w:val="single" w:sz="4" w:space="0" w:color="000000"/>
            </w:tcBorders>
            <w:shd w:val="clear" w:color="auto" w:fill="DBE3F4" w:themeFill="accent1" w:themeFillTint="32"/>
            <w:vAlign w:val="center"/>
          </w:tcPr>
          <w:p w14:paraId="459AD618">
            <w:pPr>
              <w:keepNext w:val="0"/>
              <w:keepLines w:val="0"/>
              <w:pageBreakBefore w:val="0"/>
              <w:widowControl w:val="0"/>
              <w:kinsoku/>
              <w:wordWrap/>
              <w:overflowPunct/>
              <w:topLinePunct w:val="0"/>
              <w:autoSpaceDE/>
              <w:autoSpaceDN/>
              <w:bidi w:val="0"/>
              <w:adjustRightInd/>
              <w:snapToGrid/>
              <w:jc w:val="center"/>
              <w:textAlignment w:val="auto"/>
              <w:rPr>
                <w:rFonts w:hint="eastAsia"/>
                <w:b w:val="0"/>
                <w:color w:val="000000"/>
                <w:lang w:val="en-US" w:eastAsia="zh-CN"/>
              </w:rPr>
            </w:pPr>
            <w:r>
              <w:rPr>
                <w:rFonts w:hint="eastAsia"/>
                <w:b w:val="0"/>
                <w:color w:val="000000"/>
                <w:lang w:val="en-US" w:eastAsia="zh-CN"/>
              </w:rPr>
              <w:t>使用规则</w:t>
            </w:r>
          </w:p>
        </w:tc>
        <w:tc>
          <w:tcPr>
            <w:tcW w:w="1960" w:type="dxa"/>
            <w:tcBorders>
              <w:top w:val="single" w:sz="4" w:space="0" w:color="000000"/>
              <w:left w:val="single" w:sz="4" w:space="0" w:color="000000"/>
              <w:bottom w:val="single" w:sz="4" w:space="0" w:color="000000"/>
              <w:right w:val="single" w:sz="4" w:space="0" w:color="000000"/>
            </w:tcBorders>
            <w:shd w:val="clear" w:color="auto" w:fill="DBE3F4" w:themeFill="accent1" w:themeFillTint="32"/>
            <w:vAlign w:val="center"/>
          </w:tcPr>
          <w:p w14:paraId="038F3465">
            <w:pPr>
              <w:keepNext w:val="0"/>
              <w:keepLines w:val="0"/>
              <w:pageBreakBefore w:val="0"/>
              <w:widowControl w:val="0"/>
              <w:kinsoku/>
              <w:wordWrap/>
              <w:overflowPunct/>
              <w:topLinePunct w:val="0"/>
              <w:autoSpaceDE/>
              <w:autoSpaceDN/>
              <w:bidi w:val="0"/>
              <w:adjustRightInd/>
              <w:snapToGrid/>
              <w:jc w:val="center"/>
              <w:textAlignment w:val="auto"/>
              <w:rPr>
                <w:rFonts w:hint="eastAsia"/>
                <w:b w:val="0"/>
                <w:color w:val="000000"/>
                <w:lang w:val="en-US" w:eastAsia="zh-CN"/>
              </w:rPr>
            </w:pPr>
            <w:r>
              <w:rPr>
                <w:rFonts w:hint="eastAsia"/>
                <w:b w:val="0"/>
                <w:color w:val="000000"/>
                <w:lang w:val="en-US" w:eastAsia="zh-CN"/>
              </w:rPr>
              <w:t>课堂示例</w:t>
            </w:r>
          </w:p>
        </w:tc>
      </w:tr>
      <w:tr w14:paraId="367EB7E1">
        <w:tblPrEx>
          <w:tblW w:w="8396" w:type="dxa"/>
          <w:tblInd w:w="0" w:type="dxa"/>
          <w:tblCellMar>
            <w:left w:w="108" w:type="dxa"/>
            <w:right w:w="108" w:type="dxa"/>
          </w:tblCellMar>
        </w:tblPrEx>
        <w:tc>
          <w:tcPr>
            <w:tcW w:w="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4663C6">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绿灯（常态使用）</w:t>
            </w:r>
          </w:p>
        </w:tc>
        <w:tc>
          <w:tcPr>
            <w:tcW w:w="3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36237A">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国家中小学智慧教育平台资源、数字地图与时间轴、匿名投票与词云、交互式课件</w:t>
            </w:r>
          </w:p>
        </w:tc>
        <w:tc>
          <w:tcPr>
            <w:tcW w:w="2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4EDB80">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教师主导操作，课前核对资源来源与时效</w:t>
            </w:r>
          </w:p>
        </w:tc>
        <w:tc>
          <w:tcPr>
            <w:tcW w:w="1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6CCE19">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用匿名投票了解学生是否曾把游戏账号密码告诉他人</w:t>
            </w:r>
          </w:p>
        </w:tc>
      </w:tr>
      <w:tr w14:paraId="206BF08C">
        <w:tblPrEx>
          <w:tblW w:w="8396" w:type="dxa"/>
          <w:tblInd w:w="0" w:type="dxa"/>
          <w:tblCellMar>
            <w:left w:w="108" w:type="dxa"/>
            <w:right w:w="108" w:type="dxa"/>
          </w:tblCellMar>
        </w:tblPrEx>
        <w:tc>
          <w:tcPr>
            <w:tcW w:w="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C49801">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黄灯（限定使用）</w:t>
            </w:r>
          </w:p>
        </w:tc>
        <w:tc>
          <w:tcPr>
            <w:tcW w:w="3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17946B">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生成式人工智能生成情境变式与反方观点、人工智能生成图像用于真伪辨识训练、虚拟仿真体验</w:t>
            </w:r>
          </w:p>
        </w:tc>
        <w:tc>
          <w:tcPr>
            <w:tcW w:w="2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0D5BC4">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仅限教师操作，内容经三审后入课，课堂明确标注“AI生成”，体验后必须衔接讨论或行动</w:t>
            </w:r>
          </w:p>
        </w:tc>
        <w:tc>
          <w:tcPr>
            <w:tcW w:w="1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ED7F97">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教师生成三则网络交友情境变式，学生比较其中共同的风险信号</w:t>
            </w:r>
          </w:p>
        </w:tc>
      </w:tr>
      <w:tr w14:paraId="27430D1D">
        <w:tblPrEx>
          <w:tblW w:w="8396" w:type="dxa"/>
          <w:tblInd w:w="0" w:type="dxa"/>
          <w:tblCellMar>
            <w:left w:w="108" w:type="dxa"/>
            <w:right w:w="108" w:type="dxa"/>
          </w:tblCellMar>
        </w:tblPrEx>
        <w:tc>
          <w:tcPr>
            <w:tcW w:w="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4FEB01">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红灯（禁止使用）</w:t>
            </w:r>
          </w:p>
        </w:tc>
        <w:tc>
          <w:tcPr>
            <w:tcW w:w="3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41A93D">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学生使用开放式内容生成工具、表情和专注度评分、德育数据公开排名、上传带有学生面部、真实姓名的作品到未审核平台</w:t>
            </w:r>
          </w:p>
        </w:tc>
        <w:tc>
          <w:tcPr>
            <w:tcW w:w="2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69864F">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依据《中小学生成式人工智能使用指南（2025年版）》及个人信息保护相关法律执行</w:t>
            </w:r>
          </w:p>
        </w:tc>
        <w:tc>
          <w:tcPr>
            <w:tcW w:w="1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2034C6">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不以“课堂专注度报告”评价学生品德表现</w:t>
            </w:r>
          </w:p>
        </w:tc>
      </w:tr>
    </w:tbl>
    <w:p w14:paraId="2015406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（二）构建“境—思—行”三阶教学</w:t>
      </w:r>
    </w:p>
    <w:p w14:paraId="78C050F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针对体验离身的问题，本文提出的是“境—思—行”的教学模式。“境”是通过数字手段把学生带入真实可感的情境里，“思”是老师主导的对话辨析价值、理解法理，“行”是把课堂上得出的结论落实到线下行动上，用行动记录作为反馈，回到下一节课的导入部分，形成闭环。</w:t>
      </w:r>
    </w:p>
    <w:p w14:paraId="724B1672">
      <w:pPr>
        <w:keepNext w:val="0"/>
        <w:keepLines w:val="0"/>
        <w:pageBreakBefore w:val="0"/>
        <w:widowControl w:val="0"/>
        <w:kinsoku/>
        <w:wordWrap/>
        <w:overflowPunct/>
        <w:topLinePunct w:val="0"/>
        <w:autoSpaceDE/>
        <w:autoSpaceDN/>
        <w:bidi w:val="0"/>
        <w:adjustRightInd/>
        <w:snapToGrid/>
        <w:ind w:firstLine="420" w:firstLineChars="200"/>
        <w:jc w:val="both"/>
        <w:textAlignment w:val="auto"/>
      </w:pPr>
    </w:p>
    <w:p w14:paraId="678091E4">
      <w:pPr>
        <w:keepNext w:val="0"/>
        <w:keepLines w:val="0"/>
        <w:pageBreakBefore w:val="0"/>
        <w:widowControl w:val="0"/>
        <w:kinsoku/>
        <w:wordWrap/>
        <w:overflowPunct/>
        <w:topLinePunct w:val="0"/>
        <w:autoSpaceDE/>
        <w:autoSpaceDN/>
        <w:bidi w:val="0"/>
        <w:adjustRightInd/>
        <w:snapToGrid/>
        <w:jc w:val="center"/>
        <w:textAlignment w:val="auto"/>
        <w:rPr>
          <w:rFonts w:hint="eastAsia"/>
          <w:highlight w:val="yellow"/>
        </w:rPr>
      </w:pPr>
      <w:r>
        <w:drawing>
          <wp:inline distT="0" distB="0" distL="114300" distR="114300">
            <wp:extent cx="5266690" cy="197358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rcRect t="17703" b="15688"/>
                    <a:stretch>
                      <a:fillRect/>
                    </a:stretch>
                  </pic:blipFill>
                  <pic:spPr>
                    <a:xfrm>
                      <a:off x="0" y="0"/>
                      <a:ext cx="5266690" cy="1973580"/>
                    </a:xfrm>
                    <a:prstGeom prst="rect">
                      <a:avLst/>
                    </a:prstGeom>
                    <a:noFill/>
                    <a:ln>
                      <a:noFill/>
                    </a:ln>
                  </pic:spPr>
                </pic:pic>
              </a:graphicData>
            </a:graphic>
          </wp:inline>
        </w:drawing>
      </w:r>
    </w:p>
    <w:p w14:paraId="04DC61F6">
      <w:pPr>
        <w:keepNext w:val="0"/>
        <w:keepLines w:val="0"/>
        <w:pageBreakBefore w:val="0"/>
        <w:widowControl w:val="0"/>
        <w:kinsoku/>
        <w:wordWrap/>
        <w:overflowPunct/>
        <w:topLinePunct w:val="0"/>
        <w:autoSpaceDE/>
        <w:autoSpaceDN/>
        <w:bidi w:val="0"/>
        <w:adjustRightInd/>
        <w:snapToGrid/>
        <w:jc w:val="center"/>
        <w:textAlignment w:val="auto"/>
        <w:rPr>
          <w:rFonts w:hint="eastAsia"/>
          <w:highlight w:val="none"/>
        </w:rPr>
      </w:pPr>
      <w:r>
        <w:rPr>
          <w:rFonts w:hint="eastAsia"/>
          <w:highlight w:val="none"/>
        </w:rPr>
        <w:t>图2　“境—思—行”三阶教学结构</w:t>
      </w:r>
    </w:p>
    <w:p w14:paraId="7C8C8D6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以统</w:t>
      </w:r>
      <w:r>
        <w:rPr>
          <w:rFonts w:hint="eastAsia"/>
        </w:rPr>
        <w:t>编教材四年级上册第九课《安全文明上网》为例。教材主要引导学生辨别网络的风险，学会文明上网，保护自己的隐私，教师可以将《未成年人网络保护条例》中有关青少年个人信息保护、网络骚扰防范的内容进行扩展，开展一课时教学。</w:t>
      </w:r>
    </w:p>
    <w:p w14:paraId="47C9CD86">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表2　</w:t>
      </w:r>
      <w:r>
        <w:rPr>
          <w:rFonts w:hint="eastAsia"/>
        </w:rPr>
        <w:t>《安全文明上网》拓展课教学设计</w:t>
      </w:r>
    </w:p>
    <w:tbl>
      <w:tblPr>
        <w:tblStyle w:val="TableGrid"/>
        <w:tblW w:w="854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706"/>
        <w:gridCol w:w="730"/>
        <w:gridCol w:w="1090"/>
        <w:gridCol w:w="3390"/>
        <w:gridCol w:w="1530"/>
        <w:gridCol w:w="1100"/>
      </w:tblGrid>
      <w:tr w14:paraId="256CA95A">
        <w:tblPrEx>
          <w:tblW w:w="854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6" w:type="dxa"/>
            <w:tcBorders>
              <w:top w:val="single" w:sz="4" w:space="0" w:color="000000"/>
              <w:left w:val="single" w:sz="4" w:space="0" w:color="000000"/>
              <w:bottom w:val="single" w:sz="4" w:space="0" w:color="000000"/>
              <w:right w:val="single" w:sz="4" w:space="0" w:color="000000"/>
              <w:tl2br w:val="nil"/>
            </w:tcBorders>
            <w:shd w:val="clear" w:color="auto" w:fill="DBE3F4" w:themeFill="accent1" w:themeFillTint="32"/>
            <w:vAlign w:val="center"/>
          </w:tcPr>
          <w:p w14:paraId="7B51B7DE">
            <w:pPr>
              <w:keepNext w:val="0"/>
              <w:keepLines w:val="0"/>
              <w:pageBreakBefore w:val="0"/>
              <w:widowControl w:val="0"/>
              <w:kinsoku/>
              <w:wordWrap/>
              <w:overflowPunct/>
              <w:topLinePunct w:val="0"/>
              <w:autoSpaceDE/>
              <w:autoSpaceDN/>
              <w:bidi w:val="0"/>
              <w:adjustRightInd/>
              <w:snapToGrid/>
              <w:jc w:val="center"/>
              <w:textAlignment w:val="auto"/>
              <w:rPr>
                <w:rFonts w:hint="eastAsia"/>
                <w:b w:val="0"/>
                <w:color w:val="000000"/>
                <w:lang w:val="en-US" w:eastAsia="zh-CN"/>
              </w:rPr>
            </w:pPr>
            <w:r>
              <w:rPr>
                <w:rFonts w:hint="eastAsia"/>
                <w:b w:val="0"/>
                <w:color w:val="000000"/>
                <w:lang w:val="en-US" w:eastAsia="zh-CN"/>
              </w:rPr>
              <w:t>环节</w:t>
            </w:r>
          </w:p>
        </w:tc>
        <w:tc>
          <w:tcPr>
            <w:tcW w:w="730" w:type="dxa"/>
            <w:tcBorders>
              <w:top w:val="single" w:sz="4" w:space="0" w:color="000000"/>
              <w:left w:val="single" w:sz="4" w:space="0" w:color="000000"/>
              <w:bottom w:val="single" w:sz="4" w:space="0" w:color="000000"/>
              <w:right w:val="single" w:sz="4" w:space="0" w:color="000000"/>
            </w:tcBorders>
            <w:shd w:val="clear" w:color="auto" w:fill="DBE3F4" w:themeFill="accent1" w:themeFillTint="32"/>
            <w:vAlign w:val="center"/>
          </w:tcPr>
          <w:p w14:paraId="5EE12F00">
            <w:pPr>
              <w:keepNext w:val="0"/>
              <w:keepLines w:val="0"/>
              <w:pageBreakBefore w:val="0"/>
              <w:widowControl w:val="0"/>
              <w:kinsoku/>
              <w:wordWrap/>
              <w:overflowPunct/>
              <w:topLinePunct w:val="0"/>
              <w:autoSpaceDE/>
              <w:autoSpaceDN/>
              <w:bidi w:val="0"/>
              <w:adjustRightInd/>
              <w:snapToGrid/>
              <w:jc w:val="center"/>
              <w:textAlignment w:val="auto"/>
              <w:rPr>
                <w:rFonts w:hint="eastAsia"/>
                <w:b w:val="0"/>
                <w:color w:val="000000"/>
                <w:lang w:val="en-US" w:eastAsia="zh-CN"/>
              </w:rPr>
            </w:pPr>
            <w:r>
              <w:rPr>
                <w:rFonts w:hint="eastAsia"/>
                <w:b w:val="0"/>
                <w:color w:val="000000"/>
                <w:lang w:val="en-US" w:eastAsia="zh-CN"/>
              </w:rPr>
              <w:t>时长</w:t>
            </w:r>
          </w:p>
        </w:tc>
        <w:tc>
          <w:tcPr>
            <w:tcW w:w="1090" w:type="dxa"/>
            <w:tcBorders>
              <w:top w:val="single" w:sz="4" w:space="0" w:color="000000"/>
              <w:left w:val="single" w:sz="4" w:space="0" w:color="000000"/>
              <w:bottom w:val="single" w:sz="4" w:space="0" w:color="000000"/>
              <w:right w:val="single" w:sz="4" w:space="0" w:color="000000"/>
            </w:tcBorders>
            <w:shd w:val="clear" w:color="auto" w:fill="DBE3F4" w:themeFill="accent1" w:themeFillTint="32"/>
            <w:vAlign w:val="center"/>
          </w:tcPr>
          <w:p w14:paraId="5A3D1F4E">
            <w:pPr>
              <w:keepNext w:val="0"/>
              <w:keepLines w:val="0"/>
              <w:pageBreakBefore w:val="0"/>
              <w:widowControl w:val="0"/>
              <w:kinsoku/>
              <w:wordWrap/>
              <w:overflowPunct/>
              <w:topLinePunct w:val="0"/>
              <w:autoSpaceDE/>
              <w:autoSpaceDN/>
              <w:bidi w:val="0"/>
              <w:adjustRightInd/>
              <w:snapToGrid/>
              <w:jc w:val="center"/>
              <w:textAlignment w:val="auto"/>
              <w:rPr>
                <w:rFonts w:hint="eastAsia"/>
                <w:b w:val="0"/>
                <w:color w:val="000000"/>
                <w:lang w:val="en-US" w:eastAsia="zh-CN"/>
              </w:rPr>
            </w:pPr>
            <w:r>
              <w:rPr>
                <w:rFonts w:hint="eastAsia"/>
                <w:b w:val="0"/>
                <w:color w:val="000000"/>
                <w:lang w:val="en-US" w:eastAsia="zh-CN"/>
              </w:rPr>
              <w:t>数智支持</w:t>
            </w:r>
          </w:p>
        </w:tc>
        <w:tc>
          <w:tcPr>
            <w:tcW w:w="3390" w:type="dxa"/>
            <w:tcBorders>
              <w:top w:val="single" w:sz="4" w:space="0" w:color="000000"/>
              <w:left w:val="single" w:sz="4" w:space="0" w:color="000000"/>
              <w:bottom w:val="single" w:sz="4" w:space="0" w:color="000000"/>
              <w:right w:val="single" w:sz="4" w:space="0" w:color="000000"/>
            </w:tcBorders>
            <w:shd w:val="clear" w:color="auto" w:fill="DBE3F4" w:themeFill="accent1" w:themeFillTint="32"/>
            <w:vAlign w:val="center"/>
          </w:tcPr>
          <w:p w14:paraId="6E914107">
            <w:pPr>
              <w:keepNext w:val="0"/>
              <w:keepLines w:val="0"/>
              <w:pageBreakBefore w:val="0"/>
              <w:widowControl w:val="0"/>
              <w:kinsoku/>
              <w:wordWrap/>
              <w:overflowPunct/>
              <w:topLinePunct w:val="0"/>
              <w:autoSpaceDE/>
              <w:autoSpaceDN/>
              <w:bidi w:val="0"/>
              <w:adjustRightInd/>
              <w:snapToGrid/>
              <w:jc w:val="center"/>
              <w:textAlignment w:val="auto"/>
              <w:rPr>
                <w:rFonts w:hint="eastAsia"/>
                <w:b w:val="0"/>
                <w:color w:val="000000"/>
                <w:lang w:val="en-US" w:eastAsia="zh-CN"/>
              </w:rPr>
            </w:pPr>
            <w:r>
              <w:rPr>
                <w:rFonts w:hint="eastAsia"/>
                <w:b w:val="0"/>
                <w:color w:val="000000"/>
                <w:lang w:val="en-US" w:eastAsia="zh-CN"/>
              </w:rPr>
              <w:t>教师活动</w:t>
            </w:r>
          </w:p>
        </w:tc>
        <w:tc>
          <w:tcPr>
            <w:tcW w:w="1530" w:type="dxa"/>
            <w:tcBorders>
              <w:top w:val="single" w:sz="4" w:space="0" w:color="000000"/>
              <w:left w:val="single" w:sz="4" w:space="0" w:color="000000"/>
              <w:bottom w:val="single" w:sz="4" w:space="0" w:color="000000"/>
              <w:right w:val="single" w:sz="4" w:space="0" w:color="000000"/>
            </w:tcBorders>
            <w:shd w:val="clear" w:color="auto" w:fill="DBE3F4" w:themeFill="accent1" w:themeFillTint="32"/>
            <w:vAlign w:val="center"/>
          </w:tcPr>
          <w:p w14:paraId="19A881FD">
            <w:pPr>
              <w:keepNext w:val="0"/>
              <w:keepLines w:val="0"/>
              <w:pageBreakBefore w:val="0"/>
              <w:widowControl w:val="0"/>
              <w:kinsoku/>
              <w:wordWrap/>
              <w:overflowPunct/>
              <w:topLinePunct w:val="0"/>
              <w:autoSpaceDE/>
              <w:autoSpaceDN/>
              <w:bidi w:val="0"/>
              <w:adjustRightInd/>
              <w:snapToGrid/>
              <w:jc w:val="center"/>
              <w:textAlignment w:val="auto"/>
              <w:rPr>
                <w:rFonts w:hint="eastAsia"/>
                <w:b w:val="0"/>
                <w:color w:val="000000"/>
                <w:lang w:val="en-US" w:eastAsia="zh-CN"/>
              </w:rPr>
            </w:pPr>
            <w:r>
              <w:rPr>
                <w:rFonts w:hint="eastAsia"/>
                <w:b w:val="0"/>
                <w:color w:val="000000"/>
                <w:lang w:val="en-US" w:eastAsia="zh-CN"/>
              </w:rPr>
              <w:t>学生活动</w:t>
            </w:r>
          </w:p>
        </w:tc>
        <w:tc>
          <w:tcPr>
            <w:tcW w:w="1100" w:type="dxa"/>
            <w:tcBorders>
              <w:top w:val="single" w:sz="4" w:space="0" w:color="000000"/>
              <w:left w:val="single" w:sz="4" w:space="0" w:color="000000"/>
              <w:bottom w:val="single" w:sz="4" w:space="0" w:color="000000"/>
              <w:right w:val="single" w:sz="4" w:space="0" w:color="000000"/>
            </w:tcBorders>
            <w:shd w:val="clear" w:color="auto" w:fill="DBE3F4" w:themeFill="accent1" w:themeFillTint="32"/>
            <w:vAlign w:val="center"/>
          </w:tcPr>
          <w:p w14:paraId="3DCABC03">
            <w:pPr>
              <w:keepNext w:val="0"/>
              <w:keepLines w:val="0"/>
              <w:pageBreakBefore w:val="0"/>
              <w:widowControl w:val="0"/>
              <w:kinsoku/>
              <w:wordWrap/>
              <w:overflowPunct/>
              <w:topLinePunct w:val="0"/>
              <w:autoSpaceDE/>
              <w:autoSpaceDN/>
              <w:bidi w:val="0"/>
              <w:adjustRightInd/>
              <w:snapToGrid/>
              <w:jc w:val="center"/>
              <w:textAlignment w:val="auto"/>
              <w:rPr>
                <w:rFonts w:hint="eastAsia"/>
                <w:b w:val="0"/>
                <w:color w:val="000000"/>
                <w:lang w:val="en-US" w:eastAsia="zh-CN"/>
              </w:rPr>
            </w:pPr>
            <w:r>
              <w:rPr>
                <w:rFonts w:hint="eastAsia"/>
                <w:b w:val="0"/>
                <w:color w:val="000000"/>
                <w:lang w:val="en-US" w:eastAsia="zh-CN"/>
              </w:rPr>
              <w:t>素养指向</w:t>
            </w:r>
          </w:p>
        </w:tc>
      </w:tr>
      <w:tr w14:paraId="2ACC3065">
        <w:tblPrEx>
          <w:tblW w:w="8546" w:type="dxa"/>
          <w:tblInd w:w="0" w:type="dxa"/>
          <w:tblCellMar>
            <w:left w:w="108" w:type="dxa"/>
            <w:right w:w="108" w:type="dxa"/>
          </w:tblCellMar>
        </w:tblPrEx>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7B0AE7">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入境　情境选择</w:t>
            </w:r>
          </w:p>
        </w:tc>
        <w:tc>
          <w:tcPr>
            <w:tcW w:w="7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B3860D">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8 分钟</w:t>
            </w:r>
          </w:p>
        </w:tc>
        <w:tc>
          <w:tcPr>
            <w:tcW w:w="10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CE7122">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rPr>
              <w:t>AI 情境 + 匿名投票</w:t>
            </w:r>
          </w:p>
        </w:tc>
        <w:tc>
          <w:tcPr>
            <w:tcW w:w="33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126DB7">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呈现三组和四年级学生生活比较贴近的情境卡，分别是游戏好友私聊中有人承诺可以免费送皮肤，要求你填写家庭住址、学校班级；短视频弹幕推送有趣的测试，填写姓名和家长手机号之后才可以查看结果；同班同学将别人的糗事截图发到班级线上群中随意嘲讽。匿名投票设置题目为“遇见这样的情况，你会怎样做？”</w:t>
            </w:r>
          </w:p>
        </w:tc>
        <w:tc>
          <w:tcPr>
            <w:tcW w:w="1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5E9DAC">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阅读情境，匿名选择，观察全班真实选择分布</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DAB058">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健全人格</w:t>
            </w:r>
          </w:p>
        </w:tc>
      </w:tr>
      <w:tr w14:paraId="368809B8">
        <w:tblPrEx>
          <w:tblW w:w="8546" w:type="dxa"/>
          <w:tblInd w:w="0" w:type="dxa"/>
          <w:tblCellMar>
            <w:left w:w="108" w:type="dxa"/>
            <w:right w:w="108" w:type="dxa"/>
          </w:tblCellMar>
        </w:tblPrEx>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CC3FB6">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明理　规则对照</w:t>
            </w:r>
          </w:p>
        </w:tc>
        <w:tc>
          <w:tcPr>
            <w:tcW w:w="7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E6BFC9">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12 分钟</w:t>
            </w:r>
          </w:p>
        </w:tc>
        <w:tc>
          <w:tcPr>
            <w:tcW w:w="10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0D43D5">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rPr>
              <w:t>法条素材整理</w:t>
            </w:r>
          </w:p>
        </w:tc>
        <w:tc>
          <w:tcPr>
            <w:tcW w:w="33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10AE8A">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引导小组把情境与网络保护规则一一对应起来，问：“这个行为侵害的是谁？”我们享有哪些权利？有谁有责任保护我们？</w:t>
            </w:r>
          </w:p>
        </w:tc>
        <w:tc>
          <w:tcPr>
            <w:tcW w:w="1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73AE25">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小组研读材料，完成情境与规则连线、小组交流汇报</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272699">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法治观念</w:t>
            </w:r>
          </w:p>
        </w:tc>
      </w:tr>
      <w:tr w14:paraId="404D1FB8">
        <w:tblPrEx>
          <w:tblW w:w="8546" w:type="dxa"/>
          <w:tblInd w:w="0" w:type="dxa"/>
          <w:tblCellMar>
            <w:left w:w="108" w:type="dxa"/>
            <w:right w:w="108" w:type="dxa"/>
          </w:tblCellMar>
        </w:tblPrEx>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22D80C">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明理　思辨揭秘</w:t>
            </w:r>
          </w:p>
        </w:tc>
        <w:tc>
          <w:tcPr>
            <w:tcW w:w="7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125346">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10 分钟</w:t>
            </w:r>
          </w:p>
        </w:tc>
        <w:tc>
          <w:tcPr>
            <w:tcW w:w="10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80A683">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rPr>
              <w:t>AI 观点 + 虚拟头像</w:t>
            </w:r>
          </w:p>
        </w:tc>
        <w:tc>
          <w:tcPr>
            <w:tcW w:w="33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F36514">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rPr>
              <w:t>抛出辩题，“网上闲聊给一点个人信息没关系”，组织学生辩析；分析头像可以被 AI 伪造，线上身份的欺骗性。</w:t>
            </w:r>
          </w:p>
        </w:tc>
        <w:tc>
          <w:tcPr>
            <w:tcW w:w="1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AF051C">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自主发言、互相补充，共同形成班级共识；梳理辨别网络虚假身份的实用办法</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E7C219">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道德修养、健全人格</w:t>
            </w:r>
          </w:p>
        </w:tc>
      </w:tr>
      <w:tr w14:paraId="718643FB">
        <w:tblPrEx>
          <w:tblW w:w="8546" w:type="dxa"/>
          <w:tblInd w:w="0" w:type="dxa"/>
          <w:tblCellMar>
            <w:left w:w="108" w:type="dxa"/>
            <w:right w:w="108" w:type="dxa"/>
          </w:tblCellMar>
        </w:tblPrEx>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8BAF57">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践行　公约起草</w:t>
            </w:r>
          </w:p>
        </w:tc>
        <w:tc>
          <w:tcPr>
            <w:tcW w:w="7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08967D">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10 分钟</w:t>
            </w:r>
          </w:p>
        </w:tc>
        <w:tc>
          <w:tcPr>
            <w:tcW w:w="10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B3F166">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rPr>
              <w:t>数字成长档案</w:t>
            </w:r>
          </w:p>
        </w:tc>
        <w:tc>
          <w:tcPr>
            <w:tcW w:w="33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697A7F">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指导学生一起拟定家庭上网公约 3 条，梳理求助渠道：告诉家长、老师，拨打 12355 青少年服务台</w:t>
            </w:r>
          </w:p>
        </w:tc>
        <w:tc>
          <w:tcPr>
            <w:tcW w:w="1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7FCAE7">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起草公约，回家和家长协商确认，一周内上传公约落实情况、遇到的难题</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22B0DE">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责任意识</w:t>
            </w:r>
          </w:p>
        </w:tc>
      </w:tr>
      <w:tr w14:paraId="30CEE07C">
        <w:tblPrEx>
          <w:tblW w:w="8546" w:type="dxa"/>
          <w:tblInd w:w="0" w:type="dxa"/>
          <w:tblCellMar>
            <w:left w:w="108" w:type="dxa"/>
            <w:right w:w="108" w:type="dxa"/>
          </w:tblCellMar>
        </w:tblPrEx>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DD1749">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回流　复盘导入</w:t>
            </w:r>
          </w:p>
        </w:tc>
        <w:tc>
          <w:tcPr>
            <w:tcW w:w="7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D3406B">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下节课前 5 分钟</w:t>
            </w:r>
          </w:p>
        </w:tc>
        <w:tc>
          <w:tcPr>
            <w:tcW w:w="10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CFFC09">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rPr>
              <w:t>践行记录汇总</w:t>
            </w:r>
          </w:p>
        </w:tc>
        <w:tc>
          <w:tcPr>
            <w:tcW w:w="33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5F8CB5">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挑选典型问题组织复盘，比如 “家长刷短视频停不下来，很难一起遵守上网约定怎么办”</w:t>
            </w:r>
          </w:p>
        </w:tc>
        <w:tc>
          <w:tcPr>
            <w:tcW w:w="1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CEBB30">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分享自己的上网践行经历，一起修改完善公约</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7D9D5D">
            <w:pPr>
              <w:keepNext w:val="0"/>
              <w:keepLines w:val="0"/>
              <w:pageBreakBefore w:val="0"/>
              <w:widowControl w:val="0"/>
              <w:kinsoku/>
              <w:wordWrap/>
              <w:overflowPunct/>
              <w:topLinePunct w:val="0"/>
              <w:autoSpaceDE/>
              <w:autoSpaceDN/>
              <w:bidi w:val="0"/>
              <w:adjustRightInd/>
              <w:snapToGrid/>
              <w:jc w:val="both"/>
              <w:textAlignment w:val="auto"/>
              <w:rPr>
                <w:rFonts w:hint="eastAsia"/>
                <w:b w:val="0"/>
                <w:color w:val="000000"/>
                <w:lang w:val="en-US" w:eastAsia="zh-CN"/>
              </w:rPr>
            </w:pPr>
            <w:r>
              <w:rPr>
                <w:rFonts w:hint="eastAsia"/>
                <w:b w:val="0"/>
                <w:color w:val="000000"/>
                <w:lang w:val="en-US" w:eastAsia="zh-CN"/>
              </w:rPr>
              <w:t>责任意识、法治观念</w:t>
            </w:r>
          </w:p>
        </w:tc>
      </w:tr>
    </w:tbl>
    <w:p w14:paraId="513CFE6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有两个主要的着力点。AI 头像辨认环节把辨别 AI 假冒信息的过程自然地融合到网络安全学习当中，学生对线上身份迷惑性的理解比单纯说教要强得多。回流环节把公约从一张纸变成一个个鲜活的实例，学生在家执行公约时遇到的真实矛盾直接成为下一节课生动的研讨内容，也回应了第 8 课《别让它抢走太多》合理利用网络单元的主题。</w:t>
      </w:r>
    </w:p>
    <w:p w14:paraId="2FB4DA5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（三）实行证据与叙事并重的双轨评价</w:t>
      </w:r>
    </w:p>
    <w:p w14:paraId="482B49F2">
      <w:pPr>
        <w:keepNext w:val="0"/>
        <w:keepLines w:val="0"/>
        <w:pageBreakBefore w:val="0"/>
        <w:widowControl w:val="0"/>
        <w:kinsoku/>
        <w:wordWrap/>
        <w:overflowPunct/>
        <w:topLinePunct w:val="0"/>
        <w:autoSpaceDE/>
        <w:autoSpaceDN/>
        <w:bidi w:val="0"/>
        <w:adjustRightInd/>
        <w:snapToGrid/>
        <w:ind w:firstLine="420" w:firstLineChars="200"/>
        <w:jc w:val="both"/>
        <w:textAlignment w:val="auto"/>
      </w:pPr>
      <w:r>
        <w:rPr>
          <w:rFonts w:hint="eastAsia"/>
          <w:lang w:eastAsia="zh-CN"/>
        </w:rPr>
        <w:t>应对德性评价量化的风险，在证据轨和叙事轨上都要进行评价。证据轨记录可以观察的行为包括公约执行情况、参加志愿服务、课堂发言覆盖率等，有利于教学改进以及学生之间纵向比较。叙事轨重视动机和成长，每学期每个学生讲一件难而有为的事，教师有观察记录，同学有留言，家长有寄语，期末用十分钟左右的时间做师生成长对话。过程性数据学期末清理后只留下学生本人认可的成长叙事到下学期。</w:t>
      </w:r>
    </w:p>
    <w:p w14:paraId="73D55B81">
      <w:pPr>
        <w:keepNext w:val="0"/>
        <w:keepLines w:val="0"/>
        <w:pageBreakBefore w:val="0"/>
        <w:widowControl w:val="0"/>
        <w:kinsoku/>
        <w:wordWrap/>
        <w:overflowPunct/>
        <w:topLinePunct w:val="0"/>
        <w:autoSpaceDE/>
        <w:autoSpaceDN/>
        <w:bidi w:val="0"/>
        <w:adjustRightInd/>
        <w:snapToGrid/>
        <w:jc w:val="center"/>
        <w:textAlignment w:val="auto"/>
      </w:pPr>
      <w:r>
        <w:drawing>
          <wp:inline distT="0" distB="0" distL="114300" distR="114300">
            <wp:extent cx="4272915" cy="229489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5"/>
                    <a:srcRect l="10848" t="10503" r="7952" b="11877"/>
                    <a:stretch>
                      <a:fillRect/>
                    </a:stretch>
                  </pic:blipFill>
                  <pic:spPr>
                    <a:xfrm>
                      <a:off x="0" y="0"/>
                      <a:ext cx="4272915" cy="2294890"/>
                    </a:xfrm>
                    <a:prstGeom prst="rect">
                      <a:avLst/>
                    </a:prstGeom>
                    <a:noFill/>
                    <a:ln>
                      <a:noFill/>
                    </a:ln>
                  </pic:spPr>
                </pic:pic>
              </a:graphicData>
            </a:graphic>
          </wp:inline>
        </w:drawing>
      </w:r>
    </w:p>
    <w:p w14:paraId="39114B0B">
      <w:pPr>
        <w:keepNext w:val="0"/>
        <w:keepLines w:val="0"/>
        <w:pageBreakBefore w:val="0"/>
        <w:widowControl w:val="0"/>
        <w:kinsoku/>
        <w:wordWrap/>
        <w:overflowPunct/>
        <w:topLinePunct w:val="0"/>
        <w:autoSpaceDE/>
        <w:autoSpaceDN/>
        <w:bidi w:val="0"/>
        <w:adjustRightInd/>
        <w:snapToGrid/>
        <w:jc w:val="center"/>
        <w:textAlignment w:val="auto"/>
        <w:rPr>
          <w:rFonts w:eastAsiaTheme="minorEastAsia" w:hint="default"/>
          <w:lang w:val="en-US" w:eastAsia="zh-CN"/>
        </w:rPr>
      </w:pPr>
      <w:r>
        <w:rPr>
          <w:rFonts w:hint="eastAsia"/>
          <w:lang w:val="en-US" w:eastAsia="zh-CN"/>
        </w:rPr>
        <w:t>图2 证据与叙事并重的双轨评价</w:t>
      </w:r>
    </w:p>
    <w:p w14:paraId="40265B3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（四）开发数字公民素养螺旋单元</w:t>
      </w:r>
    </w:p>
    <w:p w14:paraId="3B410E7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人工智能伦理教育属于数智时代新兴的、必要的教育活动</w:t>
      </w:r>
      <w:r>
        <w:rPr>
          <w:rFonts w:hint="eastAsia"/>
          <w:vertAlign w:val="superscript"/>
          <w:lang w:val="en-US" w:eastAsia="zh-CN"/>
        </w:rPr>
        <w:t>[4]</w:t>
      </w:r>
      <w:r>
        <w:rPr>
          <w:rFonts w:hint="eastAsia"/>
          <w:lang w:eastAsia="zh-CN"/>
        </w:rPr>
        <w:t>。小学可以以数字公民素养为线索，在现有单元基础上循序渐进地进行螺旋上升。</w:t>
      </w:r>
    </w:p>
    <w:p w14:paraId="3DBBF11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低年级以区分屏幕与身边为主，结合安全、家庭生活的内容进行绘本、角色扮演，使学生知道不随便告诉陌生人自己的姓名、学校地址、家庭住址，遇到让人心烦的事情及时告诉大人，不安排学生自己操作智能设备。中年级主要以分辨信息真假为主，以信息网络相关单元为依托，认识广告、谣言和利用人工智能生成的图片、声音，知道不能随便转发别人的照片给别人，是对别人的尊重。高年级重在认识规则和责任，以法治专册的学习个人信息、隐私权、网络欺凌的法律责任为主要内容，同时讨论算法推荐让人无法控制地被刷下去的原因。</w:t>
      </w:r>
    </w:p>
    <w:p w14:paraId="4C1FB64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eastAsia"/>
          <w:lang w:val="en-US" w:eastAsia="zh-CN"/>
        </w:rPr>
        <w:t>结束语：</w:t>
      </w:r>
    </w:p>
    <w:p w14:paraId="43DD6D5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数智技术给小学道德与法治教学带来新的可能性，也把一些以前隐藏的问题暴露出来。技术可以使得情境更逼真，资源更丰富，但是不能代替儿童在真实的生活中做出犹豫、选择和</w:t>
      </w:r>
      <w:r>
        <w:rPr>
          <w:rFonts w:hint="eastAsia"/>
          <w:lang w:val="en-US" w:eastAsia="zh-CN"/>
        </w:rPr>
        <w:t>担当。教师在教学中要</w:t>
      </w:r>
      <w:r>
        <w:rPr>
          <w:rFonts w:hint="eastAsia"/>
          <w:lang w:eastAsia="zh-CN"/>
        </w:rPr>
        <w:t>把握好价值判断、道德体验、</w:t>
      </w:r>
      <w:bookmarkStart w:id="0" w:name="_GoBack"/>
      <w:bookmarkEnd w:id="0"/>
      <w:r>
        <w:rPr>
          <w:rFonts w:hint="eastAsia"/>
          <w:lang w:eastAsia="zh-CN"/>
        </w:rPr>
        <w:t>儿童数据这三个边界，让技术永远处在辅助者的地位，数智时代道德与法治课才会既有温度又有温度。</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E543CE"/>
    <w:rsid w:val="06DD02EB"/>
    <w:rsid w:val="22AC22D1"/>
    <w:rsid w:val="24C61128"/>
    <w:rsid w:val="28143AAC"/>
    <w:rsid w:val="2CDB44DD"/>
    <w:rsid w:val="41A14A49"/>
    <w:rsid w:val="534E3AF5"/>
    <w:rsid w:val="6CBF0F3F"/>
    <w:rsid w:val="72336B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29</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2026-11-02T16:13:32Z</dcterms:created>
  <dcterms:modified xsi:type="dcterms:W3CDTF">2026-11-02T17:21:10Z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9D97AE95D340442DBDFDA23139EC6C89_12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