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BB7D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调节精度维度用风量调节响应时间、风窗开度调节误差、全网解算收敛精度体现的是算法层的执行水平，以瓦斯绝对涌出量大于26.4m³</w:t>
      </w:r>
      <w:r>
        <w:rPr>
          <w:rFonts w:ascii="宋体" w:eastAsia="宋体" w:hAnsi="宋体" w:cs="宋体" w:hint="eastAsia"/>
          <w:sz w:val="24"/>
          <w:vertAlign w:val="superscript"/>
          <w:lang w:val="en-US" w:eastAsia="zh-CN"/>
        </w:rPr>
        <w:t>3</w:t>
      </w:r>
      <w:r>
        <w:rPr>
          <w:rFonts w:ascii="宋体" w:eastAsia="宋体" w:hAnsi="宋体" w:cs="宋体" w:hint="eastAsia"/>
          <w:sz w:val="24"/>
          <w:lang w:val="en-US" w:eastAsia="zh-CN"/>
        </w:rPr>
        <w:t>/min的高涌出场景为例，主要考察瓦斯涌出量快速响应的能力。</w:t>
      </w:r>
    </w:p>
    <w:p w14:paraId="36EA3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能耗经济指标以主扇运行能耗降低率、吨煤通风电耗、年节电量体现变频调速控制的经济性。</w:t>
      </w:r>
    </w:p>
    <w:p w14:paraId="65CD3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系统可靠性维度用传感器数据采集完成率、系统故障平均修复时间、监测盲区覆盖率来度量监测网络稳定、连续的程度。</w:t>
      </w:r>
    </w:p>
    <w:p w14:paraId="11441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center"/>
        <w:textAlignment w:val="auto"/>
        <w:rPr>
          <w:rFonts w:ascii="宋体" w:eastAsia="宋体" w:hAnsi="宋体" w:cs="宋体" w:hint="eastAsia"/>
          <w:sz w:val="24"/>
          <w:lang w:val="en-US" w:eastAsia="zh-CN"/>
        </w:rPr>
      </w:pPr>
      <w:r>
        <w:rPr>
          <w:rFonts w:ascii="宋体" w:eastAsia="宋体" w:hAnsi="宋体" w:cs="宋体" w:hint="eastAsia"/>
          <w:sz w:val="24"/>
          <w:lang w:val="en-US" w:eastAsia="zh-CN"/>
        </w:rPr>
        <w:t>表2 煤矿通风系统智能调控方案评价指标体系</w:t>
      </w:r>
    </w:p>
    <w:tbl>
      <w:tblPr>
        <w:tblStyle w:val="TableGrid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20417CF4"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70F5F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目标层</w:t>
            </w: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5A7A6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准则层</w:t>
            </w: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75ADE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指标层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4B807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单位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3EBC6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指标性质</w:t>
            </w:r>
          </w:p>
        </w:tc>
      </w:tr>
      <w:tr w14:paraId="7893951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 w:val="restart"/>
            <w:tcBorders>
              <w:left w:val="nil"/>
              <w:right w:val="nil"/>
            </w:tcBorders>
            <w:vAlign w:val="center"/>
          </w:tcPr>
          <w:p w14:paraId="0A8B0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智能调控方案综合评价</w:t>
            </w:r>
          </w:p>
        </w:tc>
        <w:tc>
          <w:tcPr>
            <w:tcW w:w="1704" w:type="dxa"/>
            <w:vMerge w:val="restart"/>
            <w:tcBorders>
              <w:left w:val="nil"/>
              <w:right w:val="nil"/>
            </w:tcBorders>
            <w:vAlign w:val="center"/>
          </w:tcPr>
          <w:p w14:paraId="3F81C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安全保障（B1）</w:t>
            </w: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0231B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工作面供风满足率（C1）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76655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%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0793E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效益型</w:t>
            </w:r>
          </w:p>
        </w:tc>
      </w:tr>
      <w:tr w14:paraId="4ACD9519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03D42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4BB4C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61CDF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瓦斯浓度超限响应时间（C2）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7EC6B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s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2AC18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成本型</w:t>
            </w:r>
          </w:p>
        </w:tc>
      </w:tr>
      <w:tr w14:paraId="2910F68C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02264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2B7ED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2226B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风量偏差率（C3）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24D59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%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2A940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成本型</w:t>
            </w:r>
          </w:p>
        </w:tc>
      </w:tr>
      <w:tr w14:paraId="09E6202A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52E5D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 w:val="restart"/>
            <w:tcBorders>
              <w:left w:val="nil"/>
              <w:right w:val="nil"/>
            </w:tcBorders>
            <w:vAlign w:val="center"/>
          </w:tcPr>
          <w:p w14:paraId="02616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调控精度（B2）</w:t>
            </w: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3C452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风量调节响应时间（C4）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6EA24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s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4B046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成本型</w:t>
            </w:r>
          </w:p>
        </w:tc>
      </w:tr>
      <w:tr w14:paraId="07A756C0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4CA6A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68C0F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28EBA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风窗开度调节误差（C5）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50C01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°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39C04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成本型</w:t>
            </w:r>
          </w:p>
        </w:tc>
      </w:tr>
      <w:tr w14:paraId="7730E2C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765C7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71BB3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784CF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全网解算收敛精度（C6）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351BB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%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3D41A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效益型</w:t>
            </w:r>
          </w:p>
        </w:tc>
      </w:tr>
      <w:tr w14:paraId="0E022F3E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2094D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 w:val="restart"/>
            <w:tcBorders>
              <w:left w:val="nil"/>
              <w:right w:val="nil"/>
            </w:tcBorders>
            <w:vAlign w:val="center"/>
          </w:tcPr>
          <w:p w14:paraId="26A3A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能耗经济（B3）</w:t>
            </w: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39224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主扇运行能耗降低率（C7）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1D6C7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%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29467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效益型</w:t>
            </w:r>
          </w:p>
        </w:tc>
      </w:tr>
      <w:tr w14:paraId="3E420744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58412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04573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58D56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吨煤通风电耗（C8）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42D6E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kW·h/t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1225B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成本型</w:t>
            </w:r>
          </w:p>
        </w:tc>
      </w:tr>
      <w:tr w14:paraId="5F2DE864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61E4C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6BB07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55A82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年节电量（C9）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71336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万kW·h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20A74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效益型</w:t>
            </w:r>
          </w:p>
        </w:tc>
      </w:tr>
      <w:tr w14:paraId="04483EF2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736FD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 w:val="restart"/>
            <w:tcBorders>
              <w:left w:val="nil"/>
              <w:right w:val="nil"/>
            </w:tcBorders>
            <w:vAlign w:val="center"/>
          </w:tcPr>
          <w:p w14:paraId="17D5A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系统可靠（B4）</w:t>
            </w: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75FA5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传感器数据采集完整率（C10）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3049D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%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12B3C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效益型</w:t>
            </w:r>
          </w:p>
        </w:tc>
      </w:tr>
      <w:tr w14:paraId="51408E8F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27226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1AFB3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4CB52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系统故障平均恢复时间（C11）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4E911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min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7DABC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成本型</w:t>
            </w:r>
          </w:p>
        </w:tc>
      </w:tr>
      <w:tr w14:paraId="7DD1A2E3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1D260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vMerge/>
            <w:tcBorders>
              <w:left w:val="nil"/>
              <w:right w:val="nil"/>
            </w:tcBorders>
            <w:vAlign w:val="center"/>
          </w:tcPr>
          <w:p w14:paraId="137EC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</w:p>
        </w:tc>
        <w:tc>
          <w:tcPr>
            <w:tcW w:w="1704" w:type="dxa"/>
            <w:tcBorders>
              <w:left w:val="nil"/>
              <w:right w:val="nil"/>
            </w:tcBorders>
            <w:vAlign w:val="center"/>
          </w:tcPr>
          <w:p w14:paraId="2E947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监测盲区覆盖率（C12）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6329F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%</w:t>
            </w:r>
          </w:p>
        </w:tc>
        <w:tc>
          <w:tcPr>
            <w:tcW w:w="1705" w:type="dxa"/>
            <w:tcBorders>
              <w:left w:val="nil"/>
              <w:right w:val="nil"/>
            </w:tcBorders>
            <w:vAlign w:val="center"/>
          </w:tcPr>
          <w:p w14:paraId="3620A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ascii="宋体" w:eastAsia="宋体" w:hAnsi="宋体" w:cs="宋体" w:hint="eastAsia"/>
                <w:sz w:val="24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4"/>
                <w:lang w:val="en-US" w:eastAsia="zh-CN"/>
              </w:rPr>
              <w:t>成本型</w:t>
            </w:r>
          </w:p>
        </w:tc>
      </w:tr>
    </w:tbl>
    <w:p w14:paraId="2D863096"/>
    <w:p w14:paraId="17D9BA08"/>
    <w:p w14:paraId="0EA3CA84">
      <w:r>
        <w:rPr>
          <w:rFonts w:ascii="宋体" w:eastAsia="宋体" w:hAnsi="宋体" w:cs="宋体" w:hint="eastAsia"/>
          <w:sz w:val="24"/>
        </w:rPr>
        <w:t>为解决</w:t>
      </w:r>
      <w:r>
        <w:rPr>
          <w:rFonts w:ascii="宋体" w:eastAsia="宋体" w:hAnsi="宋体" w:cs="宋体" w:hint="eastAsia"/>
          <w:sz w:val="24"/>
          <w:lang w:val="en-US" w:eastAsia="zh-CN"/>
        </w:rPr>
        <w:t>高瓦斯矿</w:t>
      </w:r>
      <w:r>
        <w:rPr>
          <w:rFonts w:ascii="宋体" w:eastAsia="宋体" w:hAnsi="宋体" w:cs="宋体" w:hint="eastAsia"/>
          <w:sz w:val="24"/>
        </w:rPr>
        <w:t>井精确供风、安全控制不能协同的问题，从通</w:t>
      </w:r>
      <w:r>
        <w:rPr>
          <w:rFonts w:ascii="宋体" w:eastAsia="宋体" w:hAnsi="宋体" w:cs="宋体" w:hint="eastAsia"/>
          <w:sz w:val="24"/>
          <w:lang w:val="en-US" w:eastAsia="zh-CN"/>
        </w:rPr>
        <w:t>风失衡</w:t>
      </w:r>
      <w:r>
        <w:rPr>
          <w:rFonts w:ascii="宋体" w:eastAsia="宋体" w:hAnsi="宋体" w:cs="宋体" w:hint="eastAsia"/>
          <w:sz w:val="24"/>
        </w:rPr>
        <w:t>的本源入手，以</w:t>
      </w:r>
      <w:r>
        <w:rPr>
          <w:rFonts w:ascii="宋体" w:eastAsia="宋体" w:hAnsi="宋体" w:cs="宋体" w:hint="eastAsia"/>
          <w:sz w:val="24"/>
          <w:highlight w:val="none"/>
        </w:rPr>
        <w:t>动态需风和通风系统响应之间的矛盾为出发点，以矿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井通风网络结构为基础，从通风参数实时监测、风量智能调节、主要通风机变频调速控制等角度出发，对煤矿通风系统的智能控制进行设计。在此</w:t>
      </w:r>
      <w:r>
        <w:rPr>
          <w:rFonts w:ascii="宋体" w:eastAsia="宋体" w:hAnsi="宋体" w:cs="宋体" w:hint="eastAsia"/>
          <w:sz w:val="24"/>
          <w:szCs w:val="24"/>
          <w:highlight w:val="none"/>
          <w:lang w:eastAsia="zh-CN"/>
        </w:rPr>
        <w:t>基</w:t>
      </w:r>
      <w:r>
        <w:rPr>
          <w:rFonts w:ascii="宋体" w:eastAsia="宋体" w:hAnsi="宋体" w:cs="宋体" w:hint="eastAsia"/>
          <w:sz w:val="24"/>
          <w:szCs w:val="24"/>
          <w:highlight w:val="none"/>
          <w:lang w:val="en-US" w:eastAsia="zh-CN"/>
        </w:rPr>
        <w:t>础上建立综合评价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模型，经由评</w:t>
      </w:r>
      <w:r>
        <w:rPr>
          <w:rFonts w:ascii="宋体" w:eastAsia="宋体" w:hAnsi="宋体" w:cs="宋体" w:hint="eastAsia"/>
          <w:sz w:val="24"/>
          <w:szCs w:val="24"/>
          <w:highlight w:val="none"/>
          <w:lang w:eastAsia="zh-CN"/>
        </w:rPr>
        <w:t>价</w:t>
      </w:r>
      <w:r>
        <w:rPr>
          <w:rFonts w:ascii="宋体" w:eastAsia="宋体" w:hAnsi="宋体" w:cs="宋体" w:hint="eastAsia"/>
          <w:sz w:val="24"/>
          <w:szCs w:val="24"/>
          <w:highlight w:val="none"/>
          <w:lang w:val="en-US" w:eastAsia="zh-CN"/>
        </w:rPr>
        <w:t>可以得知</w:t>
      </w:r>
      <w:r>
        <w:rPr>
          <w:rFonts w:ascii="宋体" w:eastAsia="宋体" w:hAnsi="宋体" w:cs="宋体" w:hint="eastAsia"/>
          <w:sz w:val="24"/>
          <w:highlight w:val="none"/>
        </w:rPr>
        <w:t>本方案</w:t>
      </w:r>
      <w:r>
        <w:rPr>
          <w:rFonts w:ascii="宋体" w:eastAsia="宋体" w:hAnsi="宋体" w:cs="宋体" w:hint="eastAsia"/>
          <w:sz w:val="24"/>
          <w:highlight w:val="none"/>
          <w:lang w:val="en-US" w:eastAsia="zh-CN"/>
        </w:rPr>
        <w:t>综合评价等级为优秀，具备较好的实用性</w:t>
      </w:r>
      <w:r>
        <w:rPr>
          <w:rFonts w:ascii="宋体" w:eastAsia="宋体" w:hAnsi="宋体" w:cs="宋体" w:hint="eastAsia"/>
          <w:sz w:val="24"/>
          <w:highlight w:val="none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2C6896"/>
    <w:rsid w:val="202C689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2026-11-02T15:39:00Z</dcterms:created>
  <dcterms:modified xsi:type="dcterms:W3CDTF">2026-11-02T15:39:31Z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ECC623E577074CF88BCB3F3BF53D808A_11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