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1566019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1.3原有就地冷再生设计方案工艺特点</w:t>
      </w:r>
    </w:p>
    <w:p w14:paraId="32031B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就地冷再生是把旧路面材料在就地状态下破碎、拌和、压实的过程。再生机将旧面层和一部分基层材料破碎，加入适量的稳定剂（水泥或者泡沫沥青）拌合均匀后摊铺、碾压得到再生层，可作底基层或基层使用。</w:t>
      </w:r>
    </w:p>
    <w:p w14:paraId="622E7E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该工艺的优点是充分利用旧路材料，减少新料开采和外运，造价低，施工速度快，工期短，保持原有标高基本不变，应用在道路改扩建中较多。就塔大线而言，原设计采用就地冷再生处理底基层，主要看重其经济性与施工效率，工艺选择本身有其合理考虑</w:t>
      </w:r>
      <w:r>
        <w:rPr>
          <w:rFonts w:ascii="宋体" w:eastAsia="宋体" w:hAnsi="宋体" w:cs="宋体" w:hint="default"/>
          <w:color w:val="FF0000"/>
          <w:highlight w:val="yellow"/>
          <w:vertAlign w:val="superscript"/>
          <w:lang w:val="en-US" w:eastAsia="zh-CN"/>
        </w:rPr>
        <w:t>[2]</w:t>
      </w:r>
      <w:r>
        <w:rPr>
          <w:rFonts w:ascii="宋体" w:eastAsia="宋体" w:hAnsi="宋体" w:cs="宋体" w:hint="eastAsia"/>
          <w:color w:val="FF0000"/>
          <w:lang w:val="en-US" w:eastAsia="zh-CN"/>
        </w:rPr>
        <w:t>。</w:t>
      </w:r>
    </w:p>
    <w:p w14:paraId="3CC6488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1.4原方案针对沥青夹层处置存在的局限</w:t>
      </w:r>
    </w:p>
    <w:p w14:paraId="293239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就地冷再生工艺虽然已经成熟，但是由于设备转子直径、功率和行进速度的限制，破碎拌和的深度是有限制的。再生机对埋于二灰碎石基层下层的连续老路沥青层的破碎深度不能达到，不能将沥青夹层破碎均匀，与新料拌合。</w:t>
      </w:r>
    </w:p>
    <w:p w14:paraId="7E9DF6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因此出现了直接的问题，如果按照原方案施工的话，在冷再生施工之后，沥青夹层还以完整的或者半完整的形态存在于基层当中，没有被清除掉。残留的夹层在原位留有之前软弱界面，层间滑移、应力集中、水破坏等病害发生的风险仍然存在，底基层结构强度及耐久性无法达到设计标准。因此原方案在该工程的条件下不能达到预期的处理效果，需要改变处理思路，在备选方案里重新挑选。</w:t>
      </w:r>
    </w:p>
    <w:p w14:paraId="7D87EE4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2沥青夹层病害备选处置方案拟定与多维度比选</w:t>
      </w:r>
    </w:p>
    <w:p w14:paraId="6DD07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根据就地冷再生不能清除夹层的现实情况，结合塔大线工程地质条件、投资及工期要求提出三种处置方案，从技术可行性、耐久性风险、施工难易程度、造价、工期、推荐性六个角度进行对比。</w:t>
      </w:r>
    </w:p>
    <w:p w14:paraId="02158CB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2.1维持原有就地冷再生处置方案</w:t>
      </w:r>
    </w:p>
    <w:p w14:paraId="124A29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第一套方案保持原设计不变，用就地冷再生对底基层进行处理。从施工角度来说，此方案难度小、造价低、工期短，对现场组织最为有利。但是其技术可行性是不成立的，冷再生破碎深度不够，不能到达基层下面的沥青夹层，处治后夹层还在</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highlight w:val="yellow"/>
          <w:vertAlign w:val="superscript"/>
          <w:lang w:val="en-US" w:eastAsia="zh-CN"/>
        </w:rPr>
        <w:t>3</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lang w:val="en-US" w:eastAsia="zh-CN"/>
        </w:rPr>
        <w:t>。</w:t>
      </w:r>
    </w:p>
    <w:p w14:paraId="6EA244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因此耐久性风险很高，夹层残留会造成层间滑移，在结构内部应力集中无法避免的情况下，结构在使用过程中会出现反射裂缝和水损伤。施工效率提高不能弥补结构的安全隐患，因此本方案综合评价为无效。</w:t>
      </w:r>
    </w:p>
    <w:p w14:paraId="66D01A3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2.2病害路段局部挖除沥青夹层处置方案</w:t>
      </w:r>
    </w:p>
    <w:p w14:paraId="416C92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第二套方案只对已经暴露出来的夹层病害路段进行局部挖除，挖除沥青夹层之后回填，其它路段仍沿用原方案。有针对性、工程量可控，造价与工期在三个方案之间。</w:t>
      </w:r>
    </w:p>
    <w:p w14:paraId="3701BB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它的技术可行性只是一般。局部挖除范围依据现场开挖揭露来确定，夹层分布是连续的，只挖除可见部分，边缘处会留有夹层，造成新的和旧的基层结合面。结合面处理不恰当，会在新的旧结构层之间留下薄弱环节，造成结合隐患，以后容易出现错台、反射裂缝。施工难度大，对开挖边线、回填接缝的质量有较高的要求。该方案可以缓解部分病害，但是不能完全消除隐患，推荐等级为慎用。</w:t>
      </w:r>
    </w:p>
    <w:p w14:paraId="3A62F7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2.3整体挖除换填水泥稳定碎石处置方案</w:t>
      </w:r>
    </w:p>
    <w:p w14:paraId="572EDD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第三套方案对含夹层路段实行整体处理，铣刨旧路沥青面层后全部挖除二灰碎石基层和旧沥青夹层，底基层用水泥稳定碎石换填，底基层宽度及顶面标高均不变。水泥稳定碎石和周边半刚性结构层刚度相匹配、性质相一致，换填之后结构连续完整，没有柔性夹层界面。</w:t>
      </w:r>
    </w:p>
    <w:p w14:paraId="4F8DDB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就技术可行性的角度来说，该方案可以彻底清除夹层，结构最牢固。耐久性风险低，换填之后基层结构连续、受力均匀，层间滑移和应力集中的问题得到彻底解决。代价就是施工难度大、造价高、工期长，需要投入大量的机械设备和劳动力，换填分层摊铺碾压、养护工序繁杂。由于结构安全、耐久性处于首要位置，所以该方案的优选系数为1</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highlight w:val="yellow"/>
          <w:vertAlign w:val="superscript"/>
          <w:lang w:val="en-US" w:eastAsia="zh-CN"/>
        </w:rPr>
        <w:t>4</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lang w:val="en-US" w:eastAsia="zh-CN"/>
        </w:rPr>
        <w:t>。</w:t>
      </w:r>
    </w:p>
    <w:p w14:paraId="734B14B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2.4多指标综合对比与最优方案确定</w:t>
      </w:r>
    </w:p>
    <w:p w14:paraId="78135F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将三套方案按六项指标汇总对比，结果见表1。</w:t>
      </w:r>
    </w:p>
    <w:p w14:paraId="58A7ED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260" w:firstLineChars="6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表1沥青夹层处置方案多维度对比</w:t>
      </w:r>
    </w:p>
    <w:tbl>
      <w:tblPr>
        <w:tblStyle w:val="TableNormal"/>
        <w:tblW w:w="85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
      <w:tblGrid>
        <w:gridCol w:w="1253"/>
        <w:gridCol w:w="2287"/>
        <w:gridCol w:w="2285"/>
        <w:gridCol w:w="2697"/>
      </w:tblGrid>
      <w:tr w14:paraId="2B6A0474">
        <w:tblPrEx>
          <w:tblW w:w="85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Ex>
        <w:trPr>
          <w:trHeight w:hRule="auto" w:val="0"/>
          <w:tblHeader/>
          <w:jc w:val="center"/>
        </w:trPr>
        <w:tc>
          <w:tcPr>
            <w:tcW w:w="1253"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623CC952">
            <w:pPr>
              <w:keepNext w:val="0"/>
              <w:keepLines w:val="0"/>
              <w:pageBreakBefore w:val="0"/>
              <w:widowControl/>
              <w:suppressLineNumbers w:val="0"/>
              <w:kinsoku/>
              <w:overflowPunct/>
              <w:topLinePunct w:val="0"/>
              <w:bidi w:val="0"/>
              <w:adjustRightInd/>
              <w:snapToGrid w:val="0"/>
              <w:spacing w:line="360" w:lineRule="auto"/>
              <w:jc w:val="center"/>
              <w:textAlignment w:val="auto"/>
              <w:rPr>
                <w:b/>
                <w:bCs/>
                <w:color w:val="FF0000"/>
                <w:sz w:val="21"/>
                <w:szCs w:val="21"/>
              </w:rPr>
            </w:pPr>
            <w:r>
              <w:rPr>
                <w:rFonts w:ascii="宋体" w:eastAsia="宋体" w:hAnsi="宋体" w:cs="宋体"/>
                <w:b/>
                <w:bCs/>
                <w:color w:val="FF0000"/>
                <w:kern w:val="0"/>
                <w:sz w:val="21"/>
                <w:szCs w:val="21"/>
                <w:lang w:val="en-US" w:eastAsia="zh-CN" w:bidi="ar"/>
              </w:rPr>
              <w:t>对比项</w:t>
            </w:r>
          </w:p>
        </w:tc>
        <w:tc>
          <w:tcPr>
            <w:tcW w:w="2287"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20D7576B">
            <w:pPr>
              <w:keepNext w:val="0"/>
              <w:keepLines w:val="0"/>
              <w:pageBreakBefore w:val="0"/>
              <w:widowControl/>
              <w:suppressLineNumbers w:val="0"/>
              <w:kinsoku/>
              <w:overflowPunct/>
              <w:topLinePunct w:val="0"/>
              <w:bidi w:val="0"/>
              <w:adjustRightInd/>
              <w:snapToGrid w:val="0"/>
              <w:spacing w:line="360" w:lineRule="auto"/>
              <w:jc w:val="center"/>
              <w:textAlignment w:val="auto"/>
              <w:rPr>
                <w:b/>
                <w:bCs/>
                <w:color w:val="FF0000"/>
                <w:sz w:val="21"/>
                <w:szCs w:val="21"/>
              </w:rPr>
            </w:pPr>
            <w:r>
              <w:rPr>
                <w:rFonts w:ascii="宋体" w:eastAsia="宋体" w:hAnsi="宋体" w:cs="宋体"/>
                <w:b/>
                <w:bCs/>
                <w:color w:val="FF0000"/>
                <w:kern w:val="0"/>
                <w:sz w:val="21"/>
                <w:szCs w:val="21"/>
                <w:lang w:val="en-US" w:eastAsia="zh-CN" w:bidi="ar"/>
              </w:rPr>
              <w:t>方案1：维持原冷再生</w:t>
            </w:r>
          </w:p>
        </w:tc>
        <w:tc>
          <w:tcPr>
            <w:tcW w:w="2285"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39F449EF">
            <w:pPr>
              <w:keepNext w:val="0"/>
              <w:keepLines w:val="0"/>
              <w:pageBreakBefore w:val="0"/>
              <w:widowControl/>
              <w:suppressLineNumbers w:val="0"/>
              <w:kinsoku/>
              <w:overflowPunct/>
              <w:topLinePunct w:val="0"/>
              <w:bidi w:val="0"/>
              <w:adjustRightInd/>
              <w:snapToGrid w:val="0"/>
              <w:spacing w:line="360" w:lineRule="auto"/>
              <w:jc w:val="center"/>
              <w:textAlignment w:val="auto"/>
              <w:rPr>
                <w:b/>
                <w:bCs/>
                <w:color w:val="FF0000"/>
                <w:sz w:val="21"/>
                <w:szCs w:val="21"/>
              </w:rPr>
            </w:pPr>
            <w:r>
              <w:rPr>
                <w:rFonts w:ascii="宋体" w:eastAsia="宋体" w:hAnsi="宋体" w:cs="宋体"/>
                <w:b/>
                <w:bCs/>
                <w:color w:val="FF0000"/>
                <w:kern w:val="0"/>
                <w:sz w:val="21"/>
                <w:szCs w:val="21"/>
                <w:lang w:val="en-US" w:eastAsia="zh-CN" w:bidi="ar"/>
              </w:rPr>
              <w:t>方案2：局部挖除夹层</w:t>
            </w:r>
          </w:p>
        </w:tc>
        <w:tc>
          <w:tcPr>
            <w:tcW w:w="2697"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0CB49686">
            <w:pPr>
              <w:keepNext w:val="0"/>
              <w:keepLines w:val="0"/>
              <w:pageBreakBefore w:val="0"/>
              <w:widowControl/>
              <w:suppressLineNumbers w:val="0"/>
              <w:kinsoku/>
              <w:overflowPunct/>
              <w:topLinePunct w:val="0"/>
              <w:bidi w:val="0"/>
              <w:adjustRightInd/>
              <w:snapToGrid w:val="0"/>
              <w:spacing w:line="360" w:lineRule="auto"/>
              <w:jc w:val="center"/>
              <w:textAlignment w:val="auto"/>
              <w:rPr>
                <w:b/>
                <w:bCs/>
                <w:color w:val="FF0000"/>
                <w:sz w:val="21"/>
                <w:szCs w:val="21"/>
              </w:rPr>
            </w:pPr>
            <w:r>
              <w:rPr>
                <w:rFonts w:ascii="宋体" w:eastAsia="宋体" w:hAnsi="宋体" w:cs="宋体"/>
                <w:b/>
                <w:bCs/>
                <w:color w:val="FF0000"/>
                <w:kern w:val="0"/>
                <w:sz w:val="21"/>
                <w:szCs w:val="21"/>
                <w:lang w:val="en-US" w:eastAsia="zh-CN" w:bidi="ar"/>
              </w:rPr>
              <w:t>方案3：整体挖除换填水稳</w:t>
            </w:r>
          </w:p>
        </w:tc>
      </w:tr>
      <w:tr w14:paraId="7535379A">
        <w:tblPrEx>
          <w:tblW w:w="8522" w:type="dxa"/>
          <w:jc w:val="center"/>
          <w:shd w:val="clear" w:color="auto" w:fill="auto"/>
          <w:tblCellMar>
            <w:top w:w="15" w:type="dxa"/>
            <w:left w:w="15" w:type="dxa"/>
            <w:bottom w:w="15" w:type="dxa"/>
            <w:right w:w="15" w:type="dxa"/>
          </w:tblCellMar>
        </w:tblPrEx>
        <w:trPr>
          <w:trHeight w:hRule="auto" w:val="0"/>
          <w:tblHeader/>
          <w:jc w:val="center"/>
        </w:trPr>
        <w:tc>
          <w:tcPr>
            <w:tcW w:w="1253"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5F1B5714">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技术可行性</w:t>
            </w:r>
          </w:p>
        </w:tc>
        <w:tc>
          <w:tcPr>
            <w:tcW w:w="2287"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7D5024AD">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不可行</w:t>
            </w:r>
          </w:p>
        </w:tc>
        <w:tc>
          <w:tcPr>
            <w:tcW w:w="2285"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18662C01">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一般</w:t>
            </w:r>
          </w:p>
        </w:tc>
        <w:tc>
          <w:tcPr>
            <w:tcW w:w="2697"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4520C9FC">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可行</w:t>
            </w:r>
          </w:p>
        </w:tc>
      </w:tr>
      <w:tr w14:paraId="4D6C7472">
        <w:tblPrEx>
          <w:tblW w:w="8522" w:type="dxa"/>
          <w:jc w:val="center"/>
          <w:shd w:val="clear" w:color="auto" w:fill="auto"/>
          <w:tblCellMar>
            <w:top w:w="15" w:type="dxa"/>
            <w:left w:w="15" w:type="dxa"/>
            <w:bottom w:w="15" w:type="dxa"/>
            <w:right w:w="15" w:type="dxa"/>
          </w:tblCellMar>
        </w:tblPrEx>
        <w:trPr>
          <w:trHeight w:hRule="auto" w:val="0"/>
          <w:tblHeader/>
          <w:jc w:val="center"/>
        </w:trPr>
        <w:tc>
          <w:tcPr>
            <w:tcW w:w="1253" w:type="dxa"/>
            <w:tcBorders>
              <w:top w:val="nil"/>
              <w:left w:val="nil"/>
              <w:bottom w:val="nil"/>
              <w:right w:val="nil"/>
            </w:tcBorders>
            <w:shd w:val="clear" w:color="auto" w:fill="auto"/>
            <w:noWrap w:val="0"/>
            <w:tcMar>
              <w:top w:w="120" w:type="dxa"/>
              <w:left w:w="120" w:type="dxa"/>
              <w:bottom w:w="120" w:type="dxa"/>
              <w:right w:w="120" w:type="dxa"/>
            </w:tcMar>
            <w:vAlign w:val="center"/>
          </w:tcPr>
          <w:p w14:paraId="684389BE">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耐久性风险</w:t>
            </w:r>
          </w:p>
        </w:tc>
        <w:tc>
          <w:tcPr>
            <w:tcW w:w="2287" w:type="dxa"/>
            <w:tcBorders>
              <w:top w:val="nil"/>
              <w:left w:val="nil"/>
              <w:bottom w:val="nil"/>
              <w:right w:val="nil"/>
            </w:tcBorders>
            <w:shd w:val="clear" w:color="auto" w:fill="auto"/>
            <w:noWrap w:val="0"/>
            <w:tcMar>
              <w:top w:w="120" w:type="dxa"/>
              <w:left w:w="120" w:type="dxa"/>
              <w:bottom w:w="120" w:type="dxa"/>
              <w:right w:w="120" w:type="dxa"/>
            </w:tcMar>
            <w:vAlign w:val="center"/>
          </w:tcPr>
          <w:p w14:paraId="1E512877">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高，夹层残留滑移</w:t>
            </w:r>
          </w:p>
        </w:tc>
        <w:tc>
          <w:tcPr>
            <w:tcW w:w="2285" w:type="dxa"/>
            <w:tcBorders>
              <w:top w:val="nil"/>
              <w:left w:val="nil"/>
              <w:bottom w:val="nil"/>
              <w:right w:val="nil"/>
            </w:tcBorders>
            <w:shd w:val="clear" w:color="auto" w:fill="auto"/>
            <w:noWrap w:val="0"/>
            <w:tcMar>
              <w:top w:w="120" w:type="dxa"/>
              <w:left w:w="120" w:type="dxa"/>
              <w:bottom w:w="120" w:type="dxa"/>
              <w:right w:w="120" w:type="dxa"/>
            </w:tcMar>
            <w:vAlign w:val="center"/>
          </w:tcPr>
          <w:p w14:paraId="6C517279">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存在新旧基层结合隐患</w:t>
            </w:r>
          </w:p>
        </w:tc>
        <w:tc>
          <w:tcPr>
            <w:tcW w:w="2697" w:type="dxa"/>
            <w:tcBorders>
              <w:top w:val="nil"/>
              <w:left w:val="nil"/>
              <w:bottom w:val="nil"/>
              <w:right w:val="nil"/>
            </w:tcBorders>
            <w:shd w:val="clear" w:color="auto" w:fill="auto"/>
            <w:noWrap w:val="0"/>
            <w:tcMar>
              <w:top w:w="120" w:type="dxa"/>
              <w:left w:w="120" w:type="dxa"/>
              <w:bottom w:w="120" w:type="dxa"/>
              <w:right w:w="120" w:type="dxa"/>
            </w:tcMar>
            <w:vAlign w:val="center"/>
          </w:tcPr>
          <w:p w14:paraId="641A6928">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风险低，结构连续</w:t>
            </w:r>
          </w:p>
        </w:tc>
      </w:tr>
      <w:tr w14:paraId="1B4AF9D0">
        <w:tblPrEx>
          <w:tblW w:w="8522" w:type="dxa"/>
          <w:jc w:val="center"/>
          <w:shd w:val="clear" w:color="auto" w:fill="auto"/>
          <w:tblCellMar>
            <w:top w:w="15" w:type="dxa"/>
            <w:left w:w="15" w:type="dxa"/>
            <w:bottom w:w="15" w:type="dxa"/>
            <w:right w:w="15" w:type="dxa"/>
          </w:tblCellMar>
        </w:tblPrEx>
        <w:trPr>
          <w:trHeight w:hRule="auto" w:val="0"/>
          <w:tblHeader/>
          <w:jc w:val="center"/>
        </w:trPr>
        <w:tc>
          <w:tcPr>
            <w:tcW w:w="1253" w:type="dxa"/>
            <w:tcBorders>
              <w:top w:val="nil"/>
              <w:left w:val="nil"/>
              <w:bottom w:val="nil"/>
              <w:right w:val="nil"/>
            </w:tcBorders>
            <w:shd w:val="clear" w:color="auto" w:fill="auto"/>
            <w:noWrap w:val="0"/>
            <w:tcMar>
              <w:top w:w="120" w:type="dxa"/>
              <w:left w:w="120" w:type="dxa"/>
              <w:bottom w:w="120" w:type="dxa"/>
              <w:right w:w="120" w:type="dxa"/>
            </w:tcMar>
            <w:vAlign w:val="center"/>
          </w:tcPr>
          <w:p w14:paraId="3BF0AC63">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施工难度</w:t>
            </w:r>
          </w:p>
        </w:tc>
        <w:tc>
          <w:tcPr>
            <w:tcW w:w="2287" w:type="dxa"/>
            <w:tcBorders>
              <w:top w:val="nil"/>
              <w:left w:val="nil"/>
              <w:bottom w:val="nil"/>
              <w:right w:val="nil"/>
            </w:tcBorders>
            <w:shd w:val="clear" w:color="auto" w:fill="auto"/>
            <w:noWrap w:val="0"/>
            <w:tcMar>
              <w:top w:w="120" w:type="dxa"/>
              <w:left w:w="120" w:type="dxa"/>
              <w:bottom w:w="120" w:type="dxa"/>
              <w:right w:w="120" w:type="dxa"/>
            </w:tcMar>
            <w:vAlign w:val="center"/>
          </w:tcPr>
          <w:p w14:paraId="16391E36">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低</w:t>
            </w:r>
          </w:p>
        </w:tc>
        <w:tc>
          <w:tcPr>
            <w:tcW w:w="2285" w:type="dxa"/>
            <w:tcBorders>
              <w:top w:val="nil"/>
              <w:left w:val="nil"/>
              <w:bottom w:val="nil"/>
              <w:right w:val="nil"/>
            </w:tcBorders>
            <w:shd w:val="clear" w:color="auto" w:fill="auto"/>
            <w:noWrap w:val="0"/>
            <w:tcMar>
              <w:top w:w="120" w:type="dxa"/>
              <w:left w:w="120" w:type="dxa"/>
              <w:bottom w:w="120" w:type="dxa"/>
              <w:right w:w="120" w:type="dxa"/>
            </w:tcMar>
            <w:vAlign w:val="center"/>
          </w:tcPr>
          <w:p w14:paraId="4E6B4744">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较高</w:t>
            </w:r>
          </w:p>
        </w:tc>
        <w:tc>
          <w:tcPr>
            <w:tcW w:w="2697" w:type="dxa"/>
            <w:tcBorders>
              <w:top w:val="nil"/>
              <w:left w:val="nil"/>
              <w:bottom w:val="nil"/>
              <w:right w:val="nil"/>
            </w:tcBorders>
            <w:shd w:val="clear" w:color="auto" w:fill="auto"/>
            <w:noWrap w:val="0"/>
            <w:tcMar>
              <w:top w:w="120" w:type="dxa"/>
              <w:left w:w="120" w:type="dxa"/>
              <w:bottom w:w="120" w:type="dxa"/>
              <w:right w:w="120" w:type="dxa"/>
            </w:tcMar>
            <w:vAlign w:val="center"/>
          </w:tcPr>
          <w:p w14:paraId="62D9842B">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较高</w:t>
            </w:r>
          </w:p>
        </w:tc>
      </w:tr>
      <w:tr w14:paraId="6B9774B8">
        <w:tblPrEx>
          <w:tblW w:w="8522" w:type="dxa"/>
          <w:jc w:val="center"/>
          <w:shd w:val="clear" w:color="auto" w:fill="auto"/>
          <w:tblCellMar>
            <w:top w:w="15" w:type="dxa"/>
            <w:left w:w="15" w:type="dxa"/>
            <w:bottom w:w="15" w:type="dxa"/>
            <w:right w:w="15" w:type="dxa"/>
          </w:tblCellMar>
        </w:tblPrEx>
        <w:trPr>
          <w:trHeight w:hRule="auto" w:val="0"/>
          <w:tblHeader/>
          <w:jc w:val="center"/>
        </w:trPr>
        <w:tc>
          <w:tcPr>
            <w:tcW w:w="1253" w:type="dxa"/>
            <w:tcBorders>
              <w:top w:val="nil"/>
              <w:left w:val="nil"/>
              <w:bottom w:val="nil"/>
              <w:right w:val="nil"/>
            </w:tcBorders>
            <w:shd w:val="clear" w:color="auto" w:fill="auto"/>
            <w:noWrap w:val="0"/>
            <w:tcMar>
              <w:top w:w="120" w:type="dxa"/>
              <w:left w:w="120" w:type="dxa"/>
              <w:bottom w:w="120" w:type="dxa"/>
              <w:right w:w="120" w:type="dxa"/>
            </w:tcMar>
            <w:vAlign w:val="center"/>
          </w:tcPr>
          <w:p w14:paraId="3578DB7F">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造价</w:t>
            </w:r>
          </w:p>
        </w:tc>
        <w:tc>
          <w:tcPr>
            <w:tcW w:w="2287" w:type="dxa"/>
            <w:tcBorders>
              <w:top w:val="nil"/>
              <w:left w:val="nil"/>
              <w:bottom w:val="nil"/>
              <w:right w:val="nil"/>
            </w:tcBorders>
            <w:shd w:val="clear" w:color="auto" w:fill="auto"/>
            <w:noWrap w:val="0"/>
            <w:tcMar>
              <w:top w:w="120" w:type="dxa"/>
              <w:left w:w="120" w:type="dxa"/>
              <w:bottom w:w="120" w:type="dxa"/>
              <w:right w:w="120" w:type="dxa"/>
            </w:tcMar>
            <w:vAlign w:val="center"/>
          </w:tcPr>
          <w:p w14:paraId="10A5B8BB">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低</w:t>
            </w:r>
          </w:p>
        </w:tc>
        <w:tc>
          <w:tcPr>
            <w:tcW w:w="2285" w:type="dxa"/>
            <w:tcBorders>
              <w:top w:val="nil"/>
              <w:left w:val="nil"/>
              <w:bottom w:val="nil"/>
              <w:right w:val="nil"/>
            </w:tcBorders>
            <w:shd w:val="clear" w:color="auto" w:fill="auto"/>
            <w:noWrap w:val="0"/>
            <w:tcMar>
              <w:top w:w="120" w:type="dxa"/>
              <w:left w:w="120" w:type="dxa"/>
              <w:bottom w:w="120" w:type="dxa"/>
              <w:right w:w="120" w:type="dxa"/>
            </w:tcMar>
            <w:vAlign w:val="center"/>
          </w:tcPr>
          <w:p w14:paraId="42EBB8C4">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中等</w:t>
            </w:r>
          </w:p>
        </w:tc>
        <w:tc>
          <w:tcPr>
            <w:tcW w:w="2697" w:type="dxa"/>
            <w:tcBorders>
              <w:top w:val="nil"/>
              <w:left w:val="nil"/>
              <w:bottom w:val="nil"/>
              <w:right w:val="nil"/>
            </w:tcBorders>
            <w:shd w:val="clear" w:color="auto" w:fill="auto"/>
            <w:noWrap w:val="0"/>
            <w:tcMar>
              <w:top w:w="120" w:type="dxa"/>
              <w:left w:w="120" w:type="dxa"/>
              <w:bottom w:w="120" w:type="dxa"/>
              <w:right w:w="120" w:type="dxa"/>
            </w:tcMar>
            <w:vAlign w:val="center"/>
          </w:tcPr>
          <w:p w14:paraId="45F173C3">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偏高</w:t>
            </w:r>
          </w:p>
        </w:tc>
      </w:tr>
      <w:tr w14:paraId="3211307F">
        <w:tblPrEx>
          <w:tblW w:w="8522" w:type="dxa"/>
          <w:jc w:val="center"/>
          <w:shd w:val="clear" w:color="auto" w:fill="auto"/>
          <w:tblCellMar>
            <w:top w:w="15" w:type="dxa"/>
            <w:left w:w="15" w:type="dxa"/>
            <w:bottom w:w="15" w:type="dxa"/>
            <w:right w:w="15" w:type="dxa"/>
          </w:tblCellMar>
        </w:tblPrEx>
        <w:trPr>
          <w:trHeight w:hRule="auto" w:val="0"/>
          <w:tblHeader/>
          <w:jc w:val="center"/>
        </w:trPr>
        <w:tc>
          <w:tcPr>
            <w:tcW w:w="1253" w:type="dxa"/>
            <w:tcBorders>
              <w:top w:val="nil"/>
              <w:left w:val="nil"/>
              <w:bottom w:val="nil"/>
              <w:right w:val="nil"/>
            </w:tcBorders>
            <w:shd w:val="clear" w:color="auto" w:fill="auto"/>
            <w:noWrap w:val="0"/>
            <w:tcMar>
              <w:top w:w="120" w:type="dxa"/>
              <w:left w:w="120" w:type="dxa"/>
              <w:bottom w:w="120" w:type="dxa"/>
              <w:right w:w="120" w:type="dxa"/>
            </w:tcMar>
            <w:vAlign w:val="center"/>
          </w:tcPr>
          <w:p w14:paraId="40503415">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工期</w:t>
            </w:r>
          </w:p>
        </w:tc>
        <w:tc>
          <w:tcPr>
            <w:tcW w:w="2287" w:type="dxa"/>
            <w:tcBorders>
              <w:top w:val="nil"/>
              <w:left w:val="nil"/>
              <w:bottom w:val="nil"/>
              <w:right w:val="nil"/>
            </w:tcBorders>
            <w:shd w:val="clear" w:color="auto" w:fill="auto"/>
            <w:noWrap w:val="0"/>
            <w:tcMar>
              <w:top w:w="120" w:type="dxa"/>
              <w:left w:w="120" w:type="dxa"/>
              <w:bottom w:w="120" w:type="dxa"/>
              <w:right w:w="120" w:type="dxa"/>
            </w:tcMar>
            <w:vAlign w:val="center"/>
          </w:tcPr>
          <w:p w14:paraId="37B07000">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短</w:t>
            </w:r>
          </w:p>
        </w:tc>
        <w:tc>
          <w:tcPr>
            <w:tcW w:w="2285" w:type="dxa"/>
            <w:tcBorders>
              <w:top w:val="nil"/>
              <w:left w:val="nil"/>
              <w:bottom w:val="nil"/>
              <w:right w:val="nil"/>
            </w:tcBorders>
            <w:shd w:val="clear" w:color="auto" w:fill="auto"/>
            <w:noWrap w:val="0"/>
            <w:tcMar>
              <w:top w:w="120" w:type="dxa"/>
              <w:left w:w="120" w:type="dxa"/>
              <w:bottom w:w="120" w:type="dxa"/>
              <w:right w:w="120" w:type="dxa"/>
            </w:tcMar>
            <w:vAlign w:val="center"/>
          </w:tcPr>
          <w:p w14:paraId="1B9C81F7">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中等</w:t>
            </w:r>
          </w:p>
        </w:tc>
        <w:tc>
          <w:tcPr>
            <w:tcW w:w="2697" w:type="dxa"/>
            <w:tcBorders>
              <w:top w:val="nil"/>
              <w:left w:val="nil"/>
              <w:bottom w:val="nil"/>
              <w:right w:val="nil"/>
            </w:tcBorders>
            <w:shd w:val="clear" w:color="auto" w:fill="auto"/>
            <w:noWrap w:val="0"/>
            <w:tcMar>
              <w:top w:w="120" w:type="dxa"/>
              <w:left w:w="120" w:type="dxa"/>
              <w:bottom w:w="120" w:type="dxa"/>
              <w:right w:w="120" w:type="dxa"/>
            </w:tcMar>
            <w:vAlign w:val="center"/>
          </w:tcPr>
          <w:p w14:paraId="6AEA5961">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略长</w:t>
            </w:r>
          </w:p>
        </w:tc>
      </w:tr>
      <w:tr w14:paraId="30452C1C">
        <w:tblPrEx>
          <w:tblW w:w="8522" w:type="dxa"/>
          <w:jc w:val="center"/>
          <w:shd w:val="clear" w:color="auto" w:fill="auto"/>
          <w:tblCellMar>
            <w:top w:w="15" w:type="dxa"/>
            <w:left w:w="15" w:type="dxa"/>
            <w:bottom w:w="15" w:type="dxa"/>
            <w:right w:w="15" w:type="dxa"/>
          </w:tblCellMar>
        </w:tblPrEx>
        <w:trPr>
          <w:trHeight w:hRule="auto" w:val="0"/>
          <w:tblHeader/>
          <w:jc w:val="center"/>
        </w:trPr>
        <w:tc>
          <w:tcPr>
            <w:tcW w:w="1253"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624D4AE4">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推荐性</w:t>
            </w:r>
          </w:p>
        </w:tc>
        <w:tc>
          <w:tcPr>
            <w:tcW w:w="2287"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78DE4BC1">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否决</w:t>
            </w:r>
          </w:p>
        </w:tc>
        <w:tc>
          <w:tcPr>
            <w:tcW w:w="2285"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0F1EACAF">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慎用</w:t>
            </w:r>
          </w:p>
        </w:tc>
        <w:tc>
          <w:tcPr>
            <w:tcW w:w="2697"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01B9BF47">
            <w:pPr>
              <w:keepNext w:val="0"/>
              <w:keepLines w:val="0"/>
              <w:pageBreakBefore w:val="0"/>
              <w:widowControl/>
              <w:suppressLineNumbers w:val="0"/>
              <w:kinsoku/>
              <w:overflowPunct/>
              <w:topLinePunct w:val="0"/>
              <w:bidi w:val="0"/>
              <w:adjustRightInd/>
              <w:snapToGrid w:val="0"/>
              <w:spacing w:line="360" w:lineRule="auto"/>
              <w:jc w:val="center"/>
              <w:textAlignment w:val="auto"/>
              <w:rPr>
                <w:color w:val="FF0000"/>
                <w:sz w:val="21"/>
                <w:szCs w:val="21"/>
              </w:rPr>
            </w:pPr>
            <w:r>
              <w:rPr>
                <w:rFonts w:ascii="宋体" w:eastAsia="宋体" w:hAnsi="宋体" w:cs="宋体"/>
                <w:color w:val="FF0000"/>
                <w:kern w:val="0"/>
                <w:sz w:val="21"/>
                <w:szCs w:val="21"/>
                <w:lang w:val="en-US" w:eastAsia="zh-CN" w:bidi="ar"/>
              </w:rPr>
              <w:t>选用</w:t>
            </w:r>
          </w:p>
        </w:tc>
      </w:tr>
    </w:tbl>
    <w:p w14:paraId="0D22B6E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p>
    <w:p w14:paraId="76F74A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从上图可知，方案1施工最节约但不能解决问题，方案2造价与工期均居中但是存在结合隐患，方案3投资较大但可以从根本上解决夹层病害，保证底基层强度、耐久性满足要求。对于道路改扩建工程来说，结构的安全、持久使用性能必须放在短期造价和工期的节约之前。根据塔大线实际情况，最后确定使用方案3，即整体挖除换填水泥稳定碎石的优化处理方案。</w:t>
      </w:r>
    </w:p>
    <w:p w14:paraId="26F0A99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3塔大线改扩建工程案例分析</w:t>
      </w:r>
    </w:p>
    <w:p w14:paraId="5BDF4F0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3.1项目概况及沥青夹层现场揭露情况</w:t>
      </w:r>
    </w:p>
    <w:p w14:paraId="698172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塔大线改扩建工程分段施工时，有些标段按照原来的施工设计开挖处理底基层的时候，在现场发现了底基层下面的老路沥青夹层。夹层多出现在有历史上的多次修补处，与老路养护加铺有关，连续的较大面积的埋藏。由于夹层埋藏于基层之内，常规的路面调查很难察觉出来，是施工阶段出现的隐蔽性病害。</w:t>
      </w:r>
    </w:p>
    <w:p w14:paraId="4386676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因为工程量受施工现场实际开挖情况影响而不断变化，因此换填范围要以实际发生为准来确定，对施工过程中工程变更及计量工作提出要求。</w:t>
      </w:r>
    </w:p>
    <w:p w14:paraId="2F328B9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3.2优化处置方案施工工艺与管控措施</w:t>
      </w:r>
    </w:p>
    <w:p w14:paraId="6F349C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确定优化方案之后现场就按照如下步骤进行施工。铣刨老路沥青面层，将面层材料刨除至基层顶面，整体挖除二灰碎石基层及老路沥青夹层，挖除深度要彻底清除夹层，基底检查无残留夹层及松散料后方可进行下一道工序。底基层采用水泥稳定碎石换填，换填宽度和层顶标高与原设计相同，分两层每层18cm、两层每层16cm分层摊铺碾压</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highlight w:val="yellow"/>
          <w:vertAlign w:val="superscript"/>
          <w:lang w:val="en-US" w:eastAsia="zh-CN"/>
        </w:rPr>
        <w:t>5</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lang w:val="en-US" w:eastAsia="zh-CN"/>
        </w:rPr>
        <w:t>。</w:t>
      </w:r>
    </w:p>
    <w:p w14:paraId="31D319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施工控制以分层质量控制为主。水泥稳定碎石在拌和站集中拌和时要严格控制配合比和含水量，运输、摊铺时要连续施工，防止拌合物离析，碾压按照先轻后重、先慢后快、轮迹重叠的原则逐层检测压实度，合格后方可铺筑下一层。层间接缝要按规范施工，横向接缝与纵向接缝错开，不能造成薄弱处。换填后立即覆盖洒水养护，养生期封闭交通，保证水泥稳定碎石强度的正常增长。各个工序都要留有施工记录做为计量和验收的依据。整套处置作业各个工序先后逻辑及主要控制点如图2所示。</w:t>
      </w:r>
    </w:p>
    <w:p w14:paraId="6EB464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drawing>
          <wp:inline distT="0" distB="0" distL="114300" distR="114300">
            <wp:extent cx="3487420" cy="3331210"/>
            <wp:effectExtent l="0" t="0" r="17780" b="21590"/>
            <wp:docPr id="3" name="图片 3" descr="工程类论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工程类论文 (3)"/>
                    <pic:cNvPicPr>
                      <a:picLocks noChangeAspect="1"/>
                    </pic:cNvPicPr>
                  </pic:nvPicPr>
                  <pic:blipFill>
                    <a:blip xmlns:r="http://schemas.openxmlformats.org/officeDocument/2006/relationships" r:embed="rId4"/>
                    <a:srcRect l="18466" t="8142" r="10716"/>
                    <a:stretch>
                      <a:fillRect/>
                    </a:stretch>
                  </pic:blipFill>
                  <pic:spPr>
                    <a:xfrm>
                      <a:off x="0" y="0"/>
                      <a:ext cx="3487420" cy="3331210"/>
                    </a:xfrm>
                    <a:prstGeom prst="rect">
                      <a:avLst/>
                    </a:prstGeom>
                  </pic:spPr>
                </pic:pic>
              </a:graphicData>
            </a:graphic>
          </wp:inline>
        </w:drawing>
      </w:r>
    </w:p>
    <w:p w14:paraId="547119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图2整体挖除换填水泥稳定碎石施工工艺流程</w:t>
      </w:r>
    </w:p>
    <w:p w14:paraId="6ECFC9C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3.3完工后现场检测与结果验证</w:t>
      </w:r>
    </w:p>
    <w:p w14:paraId="3F3C24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换填施工结束并经过规定养生期后，在施工完成段落进行现场检测，主要检测项目有压实度、弯沉、芯样强度。压实度检测表示各个层的压实情况，弯沉检测表示路面整体承载能力的好坏，芯样强度就是水泥稳定碎石强度发展水平的直接体现。检测结果比较稳定，各项检测指标都符合设计规范底基层结构要求，并无由于夹层残留造成层间滑移、强度不足等情况发生。</w:t>
      </w:r>
    </w:p>
    <w:p w14:paraId="2F4D4E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从对比处理前后结果可以看出，经过方案优化后夹层隐患被消除，基层结构连续，承载力强，达到预期的处治目的。</w:t>
      </w:r>
    </w:p>
    <w:p w14:paraId="0EE69D8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3.4隐蔽沥青夹层病害工程防控要点</w:t>
      </w:r>
    </w:p>
    <w:p w14:paraId="2D549A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根据本工程的实际情况，隐蔽沥青夹层病害防治要从勘察、设计、施工三个阶段进行。</w:t>
      </w:r>
    </w:p>
    <w:p w14:paraId="0CB421E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勘察阶段，对老路历史修补、加铺资料要进行专门的调查，依靠钻探、开挖探坑来检验老路结构层的组成，找出夹层的可能位置，不能只根据表面调查的结果做出判断。</w:t>
      </w:r>
    </w:p>
    <w:p w14:paraId="279A11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设计阶段对于结构复杂、修补频繁的路段，在方案的选择上要留出一定的夹层处理空间，对就地冷再生等破碎深度有限的工艺谨慎使用，必要时在设计中对夹层的检查和换填做出明确规定。</w:t>
      </w:r>
    </w:p>
    <w:p w14:paraId="593812E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施工阶段开挖后应逐段检查基层下结构是否完好，有夹层的立即上报并按变更程序办理，工程计量按实际发生量计算，加强隐蔽工程验收及记录工作，杜绝因夹层路段施工而造成的隐患。整理勘察、设计、施工各阶段的防治措施，整理要点见表2。</w:t>
      </w:r>
    </w:p>
    <w:p w14:paraId="61604DF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表2隐蔽沥青夹层各阶段防控工作要点</w:t>
      </w:r>
    </w:p>
    <w:tbl>
      <w:tblPr>
        <w:tblStyle w:val="TableNormal"/>
        <w:tblW w:w="85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
      <w:tblGrid>
        <w:gridCol w:w="1098"/>
        <w:gridCol w:w="2919"/>
        <w:gridCol w:w="4505"/>
      </w:tblGrid>
      <w:tr w14:paraId="26753176">
        <w:tblPrEx>
          <w:tblW w:w="85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Ex>
        <w:trPr>
          <w:trHeight w:hRule="auto" w:val="0"/>
          <w:tblHeader/>
          <w:jc w:val="center"/>
        </w:trPr>
        <w:tc>
          <w:tcPr>
            <w:tcW w:w="1098"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38B84931">
            <w:pPr>
              <w:keepNext w:val="0"/>
              <w:keepLines w:val="0"/>
              <w:widowControl/>
              <w:suppressLineNumbers w:val="0"/>
              <w:snapToGrid w:val="0"/>
              <w:ind w:left="0" w:right="0" w:firstLine="0" w:leftChars="0" w:rightChars="0" w:firstLineChars="0"/>
              <w:jc w:val="center"/>
              <w:rPr>
                <w:rFonts w:ascii="宋体" w:eastAsia="宋体"/>
                <w:b/>
                <w:bCs/>
                <w:color w:val="FF0000"/>
                <w:sz w:val="21"/>
                <w:szCs w:val="21"/>
              </w:rPr>
            </w:pPr>
            <w:r>
              <w:rPr>
                <w:rFonts w:ascii="宋体" w:eastAsia="宋体" w:hAnsi="宋体" w:cs="宋体"/>
                <w:b/>
                <w:bCs/>
                <w:color w:val="FF0000"/>
                <w:kern w:val="0"/>
                <w:sz w:val="21"/>
                <w:szCs w:val="21"/>
                <w:lang w:val="en-US" w:eastAsia="zh-CN" w:bidi="ar"/>
              </w:rPr>
              <w:t>工作阶段</w:t>
            </w:r>
          </w:p>
        </w:tc>
        <w:tc>
          <w:tcPr>
            <w:tcW w:w="2919"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6FC9AF25">
            <w:pPr>
              <w:keepNext w:val="0"/>
              <w:keepLines w:val="0"/>
              <w:widowControl/>
              <w:suppressLineNumbers w:val="0"/>
              <w:snapToGrid w:val="0"/>
              <w:ind w:left="0" w:right="0" w:firstLine="0" w:leftChars="0" w:rightChars="0" w:firstLineChars="0"/>
              <w:jc w:val="center"/>
              <w:rPr>
                <w:rFonts w:ascii="宋体" w:eastAsia="宋体"/>
                <w:b/>
                <w:bCs/>
                <w:color w:val="FF0000"/>
                <w:sz w:val="21"/>
                <w:szCs w:val="21"/>
              </w:rPr>
            </w:pPr>
            <w:r>
              <w:rPr>
                <w:rFonts w:ascii="宋体" w:eastAsia="宋体" w:hAnsi="宋体" w:cs="宋体"/>
                <w:b/>
                <w:bCs/>
                <w:color w:val="FF0000"/>
                <w:kern w:val="0"/>
                <w:sz w:val="21"/>
                <w:szCs w:val="21"/>
                <w:lang w:val="en-US" w:eastAsia="zh-CN" w:bidi="ar"/>
              </w:rPr>
              <w:t>主要工作内容</w:t>
            </w:r>
          </w:p>
        </w:tc>
        <w:tc>
          <w:tcPr>
            <w:tcW w:w="4505" w:type="dxa"/>
            <w:tcBorders>
              <w:top w:val="single" w:sz="12" w:space="0" w:color="CCCCCC"/>
              <w:left w:val="nil"/>
              <w:bottom w:val="nil"/>
              <w:right w:val="nil"/>
            </w:tcBorders>
            <w:shd w:val="clear" w:color="auto" w:fill="auto"/>
            <w:noWrap w:val="0"/>
            <w:tcMar>
              <w:top w:w="120" w:type="dxa"/>
              <w:left w:w="120" w:type="dxa"/>
              <w:bottom w:w="120" w:type="dxa"/>
              <w:right w:w="120" w:type="dxa"/>
            </w:tcMar>
            <w:vAlign w:val="center"/>
          </w:tcPr>
          <w:p w14:paraId="69C26776">
            <w:pPr>
              <w:keepNext w:val="0"/>
              <w:keepLines w:val="0"/>
              <w:widowControl/>
              <w:suppressLineNumbers w:val="0"/>
              <w:snapToGrid w:val="0"/>
              <w:ind w:left="0" w:right="0" w:firstLine="0" w:leftChars="0" w:rightChars="0" w:firstLineChars="0"/>
              <w:jc w:val="center"/>
              <w:rPr>
                <w:rFonts w:ascii="宋体" w:eastAsia="宋体"/>
                <w:b/>
                <w:bCs/>
                <w:color w:val="FF0000"/>
                <w:sz w:val="21"/>
                <w:szCs w:val="21"/>
              </w:rPr>
            </w:pPr>
            <w:r>
              <w:rPr>
                <w:rFonts w:ascii="宋体" w:eastAsia="宋体" w:hAnsi="宋体" w:cs="宋体"/>
                <w:b/>
                <w:bCs/>
                <w:color w:val="FF0000"/>
                <w:kern w:val="0"/>
                <w:sz w:val="21"/>
                <w:szCs w:val="21"/>
                <w:lang w:val="en-US" w:eastAsia="zh-CN" w:bidi="ar"/>
              </w:rPr>
              <w:t>重点管控要求</w:t>
            </w:r>
          </w:p>
        </w:tc>
      </w:tr>
      <w:tr w14:paraId="771EDEE7">
        <w:tblPrEx>
          <w:tblW w:w="8522" w:type="dxa"/>
          <w:jc w:val="center"/>
          <w:shd w:val="clear" w:color="auto" w:fill="auto"/>
          <w:tblCellMar>
            <w:top w:w="15" w:type="dxa"/>
            <w:left w:w="15" w:type="dxa"/>
            <w:bottom w:w="15" w:type="dxa"/>
            <w:right w:w="15" w:type="dxa"/>
          </w:tblCellMar>
        </w:tblPrEx>
        <w:trPr>
          <w:trHeight w:hRule="auto" w:val="0"/>
          <w:jc w:val="center"/>
        </w:trPr>
        <w:tc>
          <w:tcPr>
            <w:tcW w:w="1098"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3D2344A4">
            <w:pPr>
              <w:keepNext w:val="0"/>
              <w:keepLines w:val="0"/>
              <w:widowControl/>
              <w:suppressLineNumbers w:val="0"/>
              <w:snapToGrid w:val="0"/>
              <w:ind w:left="0" w:right="0" w:firstLine="0" w:leftChars="0" w:rightChars="0" w:firstLineChars="0"/>
              <w:jc w:val="center"/>
              <w:rPr>
                <w:rFonts w:ascii="宋体" w:eastAsia="宋体"/>
                <w:color w:val="FF0000"/>
                <w:sz w:val="21"/>
                <w:szCs w:val="21"/>
              </w:rPr>
            </w:pPr>
            <w:r>
              <w:rPr>
                <w:rFonts w:ascii="宋体" w:eastAsia="宋体" w:hAnsi="宋体" w:cs="宋体"/>
                <w:color w:val="FF0000"/>
                <w:kern w:val="0"/>
                <w:sz w:val="21"/>
                <w:szCs w:val="21"/>
                <w:lang w:val="en-US" w:eastAsia="zh-CN" w:bidi="ar"/>
              </w:rPr>
              <w:t>勘察阶段</w:t>
            </w:r>
          </w:p>
        </w:tc>
        <w:tc>
          <w:tcPr>
            <w:tcW w:w="2919"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0CB46C72">
            <w:pPr>
              <w:keepNext w:val="0"/>
              <w:keepLines w:val="0"/>
              <w:widowControl/>
              <w:suppressLineNumbers w:val="0"/>
              <w:snapToGrid w:val="0"/>
              <w:ind w:left="0" w:right="0" w:firstLine="0" w:leftChars="0" w:rightChars="0" w:firstLineChars="0"/>
              <w:jc w:val="left"/>
              <w:rPr>
                <w:rFonts w:ascii="宋体" w:eastAsia="宋体"/>
                <w:color w:val="FF0000"/>
                <w:sz w:val="21"/>
                <w:szCs w:val="21"/>
              </w:rPr>
            </w:pPr>
            <w:r>
              <w:rPr>
                <w:rFonts w:ascii="宋体" w:eastAsia="宋体" w:hAnsi="宋体" w:cs="宋体"/>
                <w:color w:val="FF0000"/>
                <w:kern w:val="0"/>
                <w:sz w:val="21"/>
                <w:szCs w:val="21"/>
                <w:lang w:val="en-US" w:eastAsia="zh-CN" w:bidi="ar"/>
              </w:rPr>
              <w:t>老路历史资料收集、探坑/钻探核查老路结构</w:t>
            </w:r>
          </w:p>
        </w:tc>
        <w:tc>
          <w:tcPr>
            <w:tcW w:w="4505" w:type="dxa"/>
            <w:tcBorders>
              <w:top w:val="single" w:sz="4" w:space="0" w:color="CCCCCC"/>
              <w:left w:val="nil"/>
              <w:bottom w:val="nil"/>
              <w:right w:val="nil"/>
            </w:tcBorders>
            <w:shd w:val="clear" w:color="auto" w:fill="auto"/>
            <w:noWrap w:val="0"/>
            <w:tcMar>
              <w:top w:w="120" w:type="dxa"/>
              <w:left w:w="120" w:type="dxa"/>
              <w:bottom w:w="120" w:type="dxa"/>
              <w:right w:w="120" w:type="dxa"/>
            </w:tcMar>
            <w:vAlign w:val="center"/>
          </w:tcPr>
          <w:p w14:paraId="54E41D24">
            <w:pPr>
              <w:keepNext w:val="0"/>
              <w:keepLines w:val="0"/>
              <w:widowControl/>
              <w:suppressLineNumbers w:val="0"/>
              <w:snapToGrid w:val="0"/>
              <w:ind w:left="0" w:right="0" w:firstLine="0" w:leftChars="0" w:rightChars="0" w:firstLineChars="0"/>
              <w:jc w:val="center"/>
              <w:rPr>
                <w:rFonts w:ascii="宋体" w:eastAsia="宋体"/>
                <w:color w:val="FF0000"/>
                <w:sz w:val="21"/>
                <w:szCs w:val="21"/>
              </w:rPr>
            </w:pPr>
            <w:r>
              <w:rPr>
                <w:rFonts w:ascii="宋体" w:eastAsia="宋体" w:hAnsi="宋体" w:cs="宋体"/>
                <w:color w:val="FF0000"/>
                <w:kern w:val="0"/>
                <w:sz w:val="21"/>
                <w:szCs w:val="21"/>
                <w:lang w:val="en-US" w:eastAsia="zh-CN" w:bidi="ar"/>
              </w:rPr>
              <w:t>不能只依靠路面表观调查；重点关注多次修补路段，排查潜在夹层分布</w:t>
            </w:r>
          </w:p>
        </w:tc>
      </w:tr>
      <w:tr w14:paraId="6B8847A6">
        <w:tblPrEx>
          <w:tblW w:w="8522" w:type="dxa"/>
          <w:jc w:val="center"/>
          <w:shd w:val="clear" w:color="auto" w:fill="auto"/>
          <w:tblCellMar>
            <w:top w:w="15" w:type="dxa"/>
            <w:left w:w="15" w:type="dxa"/>
            <w:bottom w:w="15" w:type="dxa"/>
            <w:right w:w="15" w:type="dxa"/>
          </w:tblCellMar>
        </w:tblPrEx>
        <w:trPr>
          <w:trHeight w:hRule="auto" w:val="0"/>
          <w:jc w:val="center"/>
        </w:trPr>
        <w:tc>
          <w:tcPr>
            <w:tcW w:w="1098" w:type="dxa"/>
            <w:tcBorders>
              <w:top w:val="nil"/>
              <w:left w:val="nil"/>
              <w:bottom w:val="nil"/>
              <w:right w:val="nil"/>
            </w:tcBorders>
            <w:shd w:val="clear" w:color="auto" w:fill="auto"/>
            <w:noWrap w:val="0"/>
            <w:tcMar>
              <w:top w:w="120" w:type="dxa"/>
              <w:left w:w="120" w:type="dxa"/>
              <w:bottom w:w="120" w:type="dxa"/>
              <w:right w:w="120" w:type="dxa"/>
            </w:tcMar>
            <w:vAlign w:val="center"/>
          </w:tcPr>
          <w:p w14:paraId="57A30139">
            <w:pPr>
              <w:keepNext w:val="0"/>
              <w:keepLines w:val="0"/>
              <w:widowControl/>
              <w:suppressLineNumbers w:val="0"/>
              <w:snapToGrid w:val="0"/>
              <w:ind w:left="0" w:right="0" w:firstLine="0" w:leftChars="0" w:rightChars="0" w:firstLineChars="0"/>
              <w:jc w:val="center"/>
              <w:rPr>
                <w:rFonts w:ascii="宋体" w:eastAsia="宋体"/>
                <w:color w:val="FF0000"/>
                <w:sz w:val="21"/>
                <w:szCs w:val="21"/>
              </w:rPr>
            </w:pPr>
            <w:r>
              <w:rPr>
                <w:rFonts w:ascii="宋体" w:eastAsia="宋体" w:hAnsi="宋体" w:cs="宋体"/>
                <w:color w:val="FF0000"/>
                <w:kern w:val="0"/>
                <w:sz w:val="21"/>
                <w:szCs w:val="21"/>
                <w:lang w:val="en-US" w:eastAsia="zh-CN" w:bidi="ar"/>
              </w:rPr>
              <w:t>设计阶段</w:t>
            </w:r>
          </w:p>
        </w:tc>
        <w:tc>
          <w:tcPr>
            <w:tcW w:w="2919" w:type="dxa"/>
            <w:tcBorders>
              <w:top w:val="nil"/>
              <w:left w:val="nil"/>
              <w:bottom w:val="nil"/>
              <w:right w:val="nil"/>
            </w:tcBorders>
            <w:shd w:val="clear" w:color="auto" w:fill="auto"/>
            <w:noWrap w:val="0"/>
            <w:tcMar>
              <w:top w:w="120" w:type="dxa"/>
              <w:left w:w="120" w:type="dxa"/>
              <w:bottom w:w="120" w:type="dxa"/>
              <w:right w:w="120" w:type="dxa"/>
            </w:tcMar>
            <w:vAlign w:val="center"/>
          </w:tcPr>
          <w:p w14:paraId="7522415B">
            <w:pPr>
              <w:keepNext w:val="0"/>
              <w:keepLines w:val="0"/>
              <w:widowControl/>
              <w:suppressLineNumbers w:val="0"/>
              <w:snapToGrid w:val="0"/>
              <w:ind w:left="0" w:right="0" w:firstLine="0" w:leftChars="0" w:rightChars="0" w:firstLineChars="0"/>
              <w:jc w:val="left"/>
              <w:rPr>
                <w:rFonts w:ascii="宋体" w:eastAsia="宋体"/>
                <w:color w:val="FF0000"/>
                <w:sz w:val="21"/>
                <w:szCs w:val="21"/>
              </w:rPr>
            </w:pPr>
            <w:r>
              <w:rPr>
                <w:rFonts w:ascii="宋体" w:eastAsia="宋体" w:hAnsi="宋体" w:cs="宋体"/>
                <w:color w:val="FF0000"/>
                <w:kern w:val="0"/>
                <w:sz w:val="21"/>
                <w:szCs w:val="21"/>
                <w:lang w:val="en-US" w:eastAsia="zh-CN" w:bidi="ar"/>
              </w:rPr>
              <w:t>改扩建方案选型，工艺适用性研判</w:t>
            </w:r>
          </w:p>
        </w:tc>
        <w:tc>
          <w:tcPr>
            <w:tcW w:w="4505" w:type="dxa"/>
            <w:tcBorders>
              <w:top w:val="nil"/>
              <w:left w:val="nil"/>
              <w:bottom w:val="nil"/>
              <w:right w:val="nil"/>
            </w:tcBorders>
            <w:shd w:val="clear" w:color="auto" w:fill="auto"/>
            <w:noWrap w:val="0"/>
            <w:tcMar>
              <w:top w:w="120" w:type="dxa"/>
              <w:left w:w="120" w:type="dxa"/>
              <w:bottom w:w="120" w:type="dxa"/>
              <w:right w:w="120" w:type="dxa"/>
            </w:tcMar>
            <w:vAlign w:val="center"/>
          </w:tcPr>
          <w:p w14:paraId="06B45F1C">
            <w:pPr>
              <w:keepNext w:val="0"/>
              <w:keepLines w:val="0"/>
              <w:widowControl/>
              <w:suppressLineNumbers w:val="0"/>
              <w:snapToGrid w:val="0"/>
              <w:ind w:left="0" w:right="0" w:firstLine="0" w:leftChars="0" w:rightChars="0" w:firstLineChars="0"/>
              <w:jc w:val="center"/>
              <w:rPr>
                <w:rFonts w:ascii="宋体" w:eastAsia="宋体"/>
                <w:color w:val="FF0000"/>
                <w:sz w:val="21"/>
                <w:szCs w:val="21"/>
              </w:rPr>
            </w:pPr>
            <w:r>
              <w:rPr>
                <w:rFonts w:ascii="宋体" w:eastAsia="宋体" w:hAnsi="宋体" w:cs="宋体"/>
                <w:color w:val="FF0000"/>
                <w:kern w:val="0"/>
                <w:sz w:val="21"/>
                <w:szCs w:val="21"/>
                <w:lang w:val="en-US" w:eastAsia="zh-CN" w:bidi="ar"/>
              </w:rPr>
              <w:t>就地冷再生注意破碎深度局限；复杂老路路段预留病害变更处置空间</w:t>
            </w:r>
          </w:p>
        </w:tc>
      </w:tr>
      <w:tr w14:paraId="593D9814">
        <w:tblPrEx>
          <w:tblW w:w="8522" w:type="dxa"/>
          <w:jc w:val="center"/>
          <w:shd w:val="clear" w:color="auto" w:fill="auto"/>
          <w:tblCellMar>
            <w:top w:w="15" w:type="dxa"/>
            <w:left w:w="15" w:type="dxa"/>
            <w:bottom w:w="15" w:type="dxa"/>
            <w:right w:w="15" w:type="dxa"/>
          </w:tblCellMar>
        </w:tblPrEx>
        <w:trPr>
          <w:trHeight w:hRule="auto" w:val="0"/>
          <w:jc w:val="center"/>
        </w:trPr>
        <w:tc>
          <w:tcPr>
            <w:tcW w:w="1098"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73A645FE">
            <w:pPr>
              <w:keepNext w:val="0"/>
              <w:keepLines w:val="0"/>
              <w:widowControl/>
              <w:suppressLineNumbers w:val="0"/>
              <w:snapToGrid w:val="0"/>
              <w:ind w:left="0" w:right="0" w:firstLine="0" w:leftChars="0" w:rightChars="0" w:firstLineChars="0"/>
              <w:jc w:val="center"/>
              <w:rPr>
                <w:rFonts w:ascii="宋体" w:eastAsia="宋体"/>
                <w:color w:val="FF0000"/>
                <w:sz w:val="21"/>
                <w:szCs w:val="21"/>
              </w:rPr>
            </w:pPr>
            <w:r>
              <w:rPr>
                <w:rFonts w:ascii="宋体" w:eastAsia="宋体" w:hAnsi="宋体" w:cs="宋体"/>
                <w:color w:val="FF0000"/>
                <w:kern w:val="0"/>
                <w:sz w:val="21"/>
                <w:szCs w:val="21"/>
                <w:lang w:val="en-US" w:eastAsia="zh-CN" w:bidi="ar"/>
              </w:rPr>
              <w:t>施工阶段</w:t>
            </w:r>
          </w:p>
        </w:tc>
        <w:tc>
          <w:tcPr>
            <w:tcW w:w="2919"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41201DFF">
            <w:pPr>
              <w:keepNext w:val="0"/>
              <w:keepLines w:val="0"/>
              <w:widowControl/>
              <w:suppressLineNumbers w:val="0"/>
              <w:snapToGrid w:val="0"/>
              <w:ind w:left="0" w:right="0" w:firstLine="0" w:leftChars="0" w:rightChars="0" w:firstLineChars="0"/>
              <w:jc w:val="left"/>
              <w:rPr>
                <w:rFonts w:ascii="宋体" w:eastAsia="宋体"/>
                <w:color w:val="FF0000"/>
                <w:sz w:val="21"/>
                <w:szCs w:val="21"/>
              </w:rPr>
            </w:pPr>
            <w:r>
              <w:rPr>
                <w:rFonts w:ascii="宋体" w:eastAsia="宋体" w:hAnsi="宋体" w:cs="宋体"/>
                <w:color w:val="FF0000"/>
                <w:kern w:val="0"/>
                <w:sz w:val="21"/>
                <w:szCs w:val="21"/>
                <w:lang w:val="en-US" w:eastAsia="zh-CN" w:bidi="ar"/>
              </w:rPr>
              <w:t>开挖揭露核查、隐蔽工程验收、变更管理</w:t>
            </w:r>
          </w:p>
        </w:tc>
        <w:tc>
          <w:tcPr>
            <w:tcW w:w="4505" w:type="dxa"/>
            <w:tcBorders>
              <w:top w:val="nil"/>
              <w:left w:val="nil"/>
              <w:bottom w:val="single" w:sz="12" w:space="0" w:color="CCCCCC"/>
              <w:right w:val="nil"/>
            </w:tcBorders>
            <w:shd w:val="clear" w:color="auto" w:fill="auto"/>
            <w:noWrap w:val="0"/>
            <w:tcMar>
              <w:top w:w="120" w:type="dxa"/>
              <w:left w:w="120" w:type="dxa"/>
              <w:bottom w:w="120" w:type="dxa"/>
              <w:right w:w="120" w:type="dxa"/>
            </w:tcMar>
            <w:vAlign w:val="center"/>
          </w:tcPr>
          <w:p w14:paraId="072E60AF">
            <w:pPr>
              <w:keepNext w:val="0"/>
              <w:keepLines w:val="0"/>
              <w:widowControl/>
              <w:suppressLineNumbers w:val="0"/>
              <w:snapToGrid w:val="0"/>
              <w:ind w:left="0" w:right="0" w:firstLine="0" w:leftChars="0" w:rightChars="0" w:firstLineChars="0"/>
              <w:jc w:val="center"/>
              <w:rPr>
                <w:rFonts w:ascii="宋体" w:eastAsia="宋体"/>
                <w:color w:val="FF0000"/>
                <w:sz w:val="21"/>
                <w:szCs w:val="21"/>
              </w:rPr>
            </w:pPr>
            <w:r>
              <w:rPr>
                <w:rFonts w:ascii="宋体" w:eastAsia="宋体" w:hAnsi="宋体" w:cs="宋体"/>
                <w:color w:val="FF0000"/>
                <w:kern w:val="0"/>
                <w:sz w:val="21"/>
                <w:szCs w:val="21"/>
                <w:lang w:val="en-US" w:eastAsia="zh-CN" w:bidi="ar"/>
              </w:rPr>
              <w:t>开挖后逐段核查基层内部；发现夹层履行变更流程；做好隐蔽工程记录留存</w:t>
            </w:r>
          </w:p>
        </w:tc>
      </w:tr>
    </w:tbl>
    <w:p w14:paraId="56768B3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p>
    <w:p w14:paraId="6763BB4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结束语</w:t>
      </w:r>
    </w:p>
    <w:p w14:paraId="5E85BE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老路沥青夹层埋在基层里，隐蔽性好，就地冷再生等破碎深度受限的工艺很难完全清除，残留的夹层会造成层间滑移、应力集中、反射裂缝和水损害，会降低底基层的结构强度及耐久性。塔大线扩建工程采用多方面比选确定整体挖除二灰碎石基层及夹层、分层换填水泥稳定碎石的处理方案，分层摊铺碾压及质量检测控制，可以将夹层彻底消除，完工路段压实度、弯沉和芯样强度均满足设计要求。对于类似改扩建工程来说，在勘察、设计、施工阶段加强隐蔽夹层的检查和处理管理，从源头控制病害的发生。</w:t>
      </w:r>
    </w:p>
    <w:p w14:paraId="69E6B71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EAAB76"/>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apple</cp:lastModifiedBy>
  <cp:revision>0</cp:revision>
  <dcterms:created xsi:type="dcterms:W3CDTF">2025-01-02T10:06:00Z</dcterms:created>
  <dcterms:modified xsi:type="dcterms:W3CDTF">2026-11-02T22:08:01Z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