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61BA854">
      <w:pPr>
        <w:keepNext w:val="0"/>
        <w:keepLines w:val="0"/>
        <w:pageBreakBefore w:val="0"/>
        <w:kinsoku/>
        <w:wordWrap/>
        <w:overflowPunct/>
        <w:topLinePunct w:val="0"/>
        <w:autoSpaceDE/>
        <w:autoSpaceDN/>
        <w:bidi w:val="0"/>
        <w:adjustRightInd/>
        <w:snapToGrid/>
        <w:spacing w:line="360" w:lineRule="auto"/>
        <w:ind w:firstLine="420" w:firstLineChars="200"/>
        <w:jc w:val="both"/>
        <w:rPr>
          <w:rFonts w:ascii="宋体" w:eastAsia="宋体" w:hAnsi="宋体" w:cs="宋体" w:hint="eastAsia"/>
          <w:color w:val="0000FF"/>
          <w:sz w:val="21"/>
          <w:szCs w:val="21"/>
          <w:lang w:val="en-US" w:eastAsia="zh-CN"/>
        </w:rPr>
      </w:pPr>
      <w:r>
        <w:rPr>
          <w:rFonts w:ascii="宋体" w:eastAsia="宋体" w:hAnsi="宋体" w:cs="宋体" w:hint="eastAsia"/>
          <w:color w:val="0000FF"/>
          <w:sz w:val="21"/>
          <w:szCs w:val="21"/>
          <w:lang w:val="en-US" w:eastAsia="zh-CN"/>
        </w:rPr>
        <w:t>堆载预压时地基沉降呈逐渐收拢趋势，第二级加载之后第三天侧向位移最大值4.2mm/d，没有超过5mm/d的安全控制值，没有出现侧向位移突然增大等不稳定的表现，证明了分级加载方案的可行性</w:t>
      </w:r>
      <w:r>
        <w:rPr>
          <w:rFonts w:ascii="宋体" w:eastAsia="宋体" w:hAnsi="宋体" w:cs="宋体" w:hint="eastAsia"/>
          <w:color w:val="0000FF"/>
          <w:sz w:val="21"/>
          <w:szCs w:val="21"/>
          <w:vertAlign w:val="superscript"/>
          <w:lang w:val="en-US" w:eastAsia="zh-CN"/>
        </w:rPr>
        <w:t>[4]</w:t>
      </w:r>
      <w:r>
        <w:rPr>
          <w:rFonts w:ascii="宋体" w:eastAsia="宋体" w:hAnsi="宋体" w:cs="宋体" w:hint="eastAsia"/>
          <w:color w:val="0000FF"/>
          <w:sz w:val="21"/>
          <w:szCs w:val="21"/>
          <w:lang w:val="en-US" w:eastAsia="zh-CN"/>
        </w:rPr>
        <w:t>。搅拌桩成桩质量按现场要求（总桩数的2%）每隔一周进行一次钻芯取样，共取样28根，桩身完整性较好，芯样侧限抗压强度平均值为2.3MPa，最小值为1.8MPa，均大于设计值1.5MPa，复合地基承载力检测值为180kPa，大于设计值160kPa。</w:t>
      </w:r>
    </w:p>
    <w:p w14:paraId="2D4C1C56">
      <w:pPr>
        <w:keepNext w:val="0"/>
        <w:keepLines w:val="0"/>
        <w:pageBreakBefore w:val="0"/>
        <w:kinsoku/>
        <w:wordWrap/>
        <w:overflowPunct/>
        <w:topLinePunct w:val="0"/>
        <w:autoSpaceDE/>
        <w:autoSpaceDN/>
        <w:bidi w:val="0"/>
        <w:adjustRightInd/>
        <w:snapToGrid/>
        <w:spacing w:line="360" w:lineRule="auto"/>
        <w:ind w:firstLine="420" w:firstLineChars="200"/>
        <w:jc w:val="both"/>
        <w:rPr>
          <w:rFonts w:ascii="宋体" w:eastAsia="宋体" w:hAnsi="宋体" w:cs="宋体" w:hint="eastAsia"/>
          <w:color w:val="0000FF"/>
          <w:sz w:val="21"/>
          <w:szCs w:val="21"/>
          <w:lang w:val="en-US" w:eastAsia="zh-CN"/>
        </w:rPr>
      </w:pPr>
      <w:r>
        <w:rPr>
          <w:rFonts w:ascii="宋体" w:eastAsia="宋体" w:hAnsi="宋体" w:cs="宋体" w:hint="eastAsia"/>
          <w:color w:val="0000FF"/>
          <w:sz w:val="21"/>
          <w:szCs w:val="21"/>
          <w:lang w:val="en-US" w:eastAsia="zh-CN"/>
        </w:rPr>
        <w:t>（三）沉降观测与效果评价</w:t>
      </w:r>
    </w:p>
    <w:p w14:paraId="7F04FA72">
      <w:pPr>
        <w:keepNext w:val="0"/>
        <w:keepLines w:val="0"/>
        <w:pageBreakBefore w:val="0"/>
        <w:kinsoku/>
        <w:wordWrap/>
        <w:overflowPunct/>
        <w:topLinePunct w:val="0"/>
        <w:autoSpaceDE/>
        <w:autoSpaceDN/>
        <w:bidi w:val="0"/>
        <w:adjustRightInd/>
        <w:snapToGrid/>
        <w:spacing w:line="360" w:lineRule="auto"/>
        <w:ind w:firstLine="420" w:firstLineChars="200"/>
        <w:jc w:val="both"/>
        <w:rPr>
          <w:rFonts w:ascii="宋体" w:eastAsia="宋体" w:hAnsi="宋体" w:cs="宋体" w:hint="eastAsia"/>
          <w:sz w:val="21"/>
          <w:szCs w:val="21"/>
          <w:lang w:val="en-US" w:eastAsia="zh-CN"/>
        </w:rPr>
      </w:pPr>
      <w:r>
        <w:rPr>
          <w:rFonts w:ascii="宋体" w:eastAsia="宋体" w:hAnsi="宋体" w:cs="宋体" w:hint="eastAsia"/>
          <w:color w:val="0000FF"/>
          <w:sz w:val="21"/>
          <w:szCs w:val="21"/>
          <w:lang w:val="en-US" w:eastAsia="zh-CN"/>
        </w:rPr>
        <w:t>沉降观测贯穿处理、填筑、预压三个阶段，代表性的观测结果见表二。根据数据可以得知，在预压结束之后累积沉降达到182mm，卸载回弹量是11mm，工后残余沉降在设计允许的范围内。搅拌桩加固后的桥台附近地区差异沉降从填筑结束时的28mm慢慢收缩到运行初期的8mm，差异沉降的减少量达到71%，运营期跳车的危险基本消除。</w:t>
      </w:r>
    </w:p>
    <w:p w14:paraId="54D123B7">
      <w:pPr>
        <w:keepNext w:val="0"/>
        <w:keepLines w:val="0"/>
        <w:pageBreakBefore w:val="0"/>
        <w:kinsoku/>
        <w:wordWrap/>
        <w:overflowPunct/>
        <w:topLinePunct w:val="0"/>
        <w:autoSpaceDE/>
        <w:autoSpaceDN/>
        <w:bidi w:val="0"/>
        <w:adjustRightInd/>
        <w:snapToGrid/>
        <w:spacing w:line="360" w:lineRule="auto"/>
        <w:ind w:firstLine="420" w:firstLineChars="200"/>
        <w:jc w:val="both"/>
        <w:rPr>
          <w:rFonts w:ascii="宋体" w:eastAsia="宋体" w:hAnsi="宋体" w:cs="宋体" w:hint="eastAsia"/>
          <w:color w:val="C00000"/>
          <w:sz w:val="21"/>
          <w:szCs w:val="21"/>
          <w:lang w:val="en-US" w:eastAsia="zh-CN"/>
        </w:rPr>
      </w:pPr>
    </w:p>
    <w:p w14:paraId="3AFA8982">
      <w:pPr>
        <w:keepNext w:val="0"/>
        <w:keepLines w:val="0"/>
        <w:pageBreakBefore w:val="0"/>
        <w:kinsoku/>
        <w:wordWrap/>
        <w:overflowPunct/>
        <w:topLinePunct w:val="0"/>
        <w:autoSpaceDE/>
        <w:autoSpaceDN/>
        <w:bidi w:val="0"/>
        <w:adjustRightInd/>
        <w:snapToGrid/>
        <w:spacing w:line="360" w:lineRule="auto"/>
        <w:ind w:firstLine="420" w:firstLineChars="200"/>
        <w:jc w:val="both"/>
        <w:rPr>
          <w:rFonts w:ascii="宋体" w:eastAsia="宋体" w:hAnsi="宋体" w:cs="宋体" w:hint="eastAsia"/>
          <w:color w:val="C00000"/>
          <w:sz w:val="21"/>
          <w:szCs w:val="21"/>
          <w:lang w:val="en-US" w:eastAsia="zh-CN"/>
        </w:rPr>
      </w:pPr>
      <w:bookmarkStart w:id="0" w:name="_GoBack"/>
      <w:bookmarkEnd w:id="0"/>
      <w:r>
        <w:rPr>
          <w:rFonts w:ascii="宋体" w:eastAsia="宋体" w:hAnsi="宋体" w:cs="宋体" w:hint="eastAsia"/>
          <w:color w:val="C00000"/>
          <w:sz w:val="21"/>
          <w:szCs w:val="21"/>
          <w:lang w:val="en-US" w:eastAsia="zh-CN"/>
        </w:rPr>
        <w:t>从施工实践可知有以下经验可以借鉴。第一，在软基处理方案的选择上，必须依据地质实测数据，不能完全照搬通用处理方法，方案选择应考虑造价、工期和加固效果三者之间的关系。本案例组合方案相对于全面换填降低造价约35%，比单一排水预压缩短工期约4个月。排水固结和深层加固相结合可以同时在不同的沉降要求区段发挥各自的长处，达到资源合理分配的目的，桥台后30m用搅拌桩控制差异沉降，一般路段用排水板控制总沉降，各负其责、经济合理。第三，全过程监测是控制沉降风险的手段之一，观测数据对施工进度起指导作用，也可以给运营维护提供基础依据。</w:t>
      </w:r>
    </w:p>
    <w:p w14:paraId="2E2F50EF">
      <w:pPr>
        <w:keepNext w:val="0"/>
        <w:keepLines w:val="0"/>
        <w:pageBreakBefore w:val="0"/>
        <w:kinsoku/>
        <w:wordWrap/>
        <w:overflowPunct/>
        <w:topLinePunct w:val="0"/>
        <w:autoSpaceDE/>
        <w:autoSpaceDN/>
        <w:bidi w:val="0"/>
        <w:adjustRightInd/>
        <w:snapToGrid/>
        <w:spacing w:line="360" w:lineRule="auto"/>
        <w:ind w:firstLine="420" w:firstLineChars="200"/>
        <w:jc w:val="both"/>
        <w:rPr>
          <w:rFonts w:ascii="宋体" w:eastAsia="宋体" w:hAnsi="宋体" w:cs="宋体" w:hint="eastAsia"/>
          <w:color w:val="C00000"/>
          <w:sz w:val="21"/>
          <w:szCs w:val="21"/>
          <w:lang w:val="en-US" w:eastAsia="zh-CN"/>
        </w:rPr>
      </w:pPr>
      <w:r>
        <w:rPr>
          <w:rFonts w:ascii="宋体" w:eastAsia="宋体" w:hAnsi="宋体" w:cs="宋体" w:hint="eastAsia"/>
          <w:color w:val="C00000"/>
          <w:sz w:val="21"/>
          <w:szCs w:val="21"/>
          <w:lang w:val="en-US" w:eastAsia="zh-CN"/>
        </w:rPr>
        <w:t>结论认为，软土路基施工要根据地质条件合理选处理工艺，在排水固结、置换加固、填筑压实等各环节都必须严格控制质量。经过工程实践证明，地表处理、排水板预压、深层加固同时施工，分段分层填筑，并且全过程做沉降观测，可以很好地控制工后沉降及变形差异。随着施工环境、地质条件越来越复杂，软基处理技术还需根据现场情况加以改进，监测手段的精细化以及加固工艺的标准化，将是提高软土路基施工质量的主要方向，也可以给以后工程提供可以借鉴的思路。</w:t>
      </w:r>
    </w:p>
    <w:p w14:paraId="0FF19CD8">
      <w:pPr>
        <w:rPr>
          <w:rFonts w:hint="eastAsia"/>
          <w:lang w:val="en-US" w:eastAsia="zh-CN"/>
        </w:rPr>
      </w:pPr>
    </w:p>
    <w:sectPr>
      <w:footerReference w:type="default" r:id="rId5"/>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3B5B9490">
    <w:pPr>
      <w:pStyle w:val="Foo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61312" coordsize="21600,21600" filled="f" stroked="f">
              <o:lock v:ext="edit" aspectratio="f"/>
              <v:textbox style="mso-fit-shape-to-text:t" inset="0,0,0,0">
                <w:txbxContent>
                  <w:p w14:paraId="7E4A7E4A">
                    <w:pPr>
                      <w:pStyle w:val="Footer"/>
                    </w:pPr>
                    <w:r>
                      <w:fldChar w:fldCharType="begin"/>
                    </w:r>
                    <w:r>
                      <w:instrText xml:space="preserve"> PAGE  \* MERGEFORMAT </w:instrText>
                    </w:r>
                    <w:r>
                      <w:fldChar w:fldCharType="separate"/>
                    </w:r>
                    <w:r>
                      <w:t>5</w:t>
                    </w:r>
                    <w:r>
                      <w:fldChar w:fldCharType="end"/>
                    </w:r>
                  </w:p>
                </w:txbxContent>
              </v:textbox>
              <w10:wrap anchorx="margin"/>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hint="eastAsia"/>
                              <w:lang w:val="en-US" w:eastAsia="zh-CN"/>
                            </w:rPr>
                          </w:pPr>
                        </w:p>
                        <w:p>
                          <w:pPr>
                            <w:pStyle w:val="Footer"/>
                            <w:rPr>
                              <w:rFonts w:hint="default"/>
                              <w:lang w:val="en-US" w:eastAsia="zh-CN"/>
                            </w:rPr>
                          </w:pPr>
                        </w:p>
                        <w:p>
                          <w:pPr>
                            <w:pStyle w:val="Footer"/>
                            <w:rPr>
                              <w:rFonts w:hint="eastAsia"/>
                              <w:lang w:val="en-US" w:eastAsia="zh-CN"/>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2050" type="#_x0000_t202" style="width:2in;height:2in;margin-top:0;margin-left:0;mso-height-relative:page;mso-position-horizontal:center;mso-position-horizontal-relative:margin;mso-width-relative:page;mso-wrap-style:none;position:absolute;z-index:251659264" coordsize="21600,21600" filled="f" stroked="f">
              <o:lock v:ext="edit" aspectratio="f"/>
              <v:textbox style="mso-fit-shape-to-text:t" inset="0,0,0,0">
                <w:txbxContent>
                  <w:p w14:paraId="15101A80">
                    <w:pPr>
                      <w:pStyle w:val="Footer"/>
                      <w:rPr>
                        <w:rFonts w:hint="eastAsia"/>
                        <w:lang w:val="en-US" w:eastAsia="zh-CN"/>
                      </w:rPr>
                    </w:pPr>
                  </w:p>
                  <w:p w14:paraId="33616060">
                    <w:pPr>
                      <w:pStyle w:val="Footer"/>
                      <w:rPr>
                        <w:rFonts w:hint="default"/>
                        <w:lang w:val="en-US" w:eastAsia="zh-CN"/>
                      </w:rPr>
                    </w:pPr>
                  </w:p>
                  <w:p w14:paraId="0315B87E">
                    <w:pPr>
                      <w:pStyle w:val="Footer"/>
                      <w:rPr>
                        <w:rFonts w:hint="eastAsia"/>
                        <w:lang w:val="en-US" w:eastAsia="zh-CN"/>
                      </w:rPr>
                    </w:pP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12B7D89"/>
    <w:rsid w:val="037C729A"/>
    <w:rsid w:val="03D64084"/>
    <w:rsid w:val="04E40EF7"/>
    <w:rsid w:val="05253443"/>
    <w:rsid w:val="057529DA"/>
    <w:rsid w:val="062D6B9D"/>
    <w:rsid w:val="06AB06FE"/>
    <w:rsid w:val="078D0641"/>
    <w:rsid w:val="0951022B"/>
    <w:rsid w:val="0B1565EA"/>
    <w:rsid w:val="0DC67402"/>
    <w:rsid w:val="0E6025CB"/>
    <w:rsid w:val="0FC53CE9"/>
    <w:rsid w:val="10264A11"/>
    <w:rsid w:val="10FC7A0C"/>
    <w:rsid w:val="110A3A14"/>
    <w:rsid w:val="1384217A"/>
    <w:rsid w:val="15BC4E5A"/>
    <w:rsid w:val="16D503E4"/>
    <w:rsid w:val="17760B6F"/>
    <w:rsid w:val="1CCE1EE1"/>
    <w:rsid w:val="1D072788"/>
    <w:rsid w:val="1D2E60DA"/>
    <w:rsid w:val="1D7C0E3E"/>
    <w:rsid w:val="1E11009B"/>
    <w:rsid w:val="1F5D5A23"/>
    <w:rsid w:val="21FB1255"/>
    <w:rsid w:val="23A93707"/>
    <w:rsid w:val="23EE5E61"/>
    <w:rsid w:val="24804BB5"/>
    <w:rsid w:val="259C73C6"/>
    <w:rsid w:val="26677593"/>
    <w:rsid w:val="26C15742"/>
    <w:rsid w:val="28FE7794"/>
    <w:rsid w:val="2B3207F8"/>
    <w:rsid w:val="2B592789"/>
    <w:rsid w:val="2B82123D"/>
    <w:rsid w:val="2B91176C"/>
    <w:rsid w:val="2C593256"/>
    <w:rsid w:val="2DFE0923"/>
    <w:rsid w:val="30C80E93"/>
    <w:rsid w:val="322F63DF"/>
    <w:rsid w:val="32566459"/>
    <w:rsid w:val="34A37A6F"/>
    <w:rsid w:val="350F525A"/>
    <w:rsid w:val="364F4412"/>
    <w:rsid w:val="396561F6"/>
    <w:rsid w:val="3A3027A5"/>
    <w:rsid w:val="3A634EC7"/>
    <w:rsid w:val="3F22501A"/>
    <w:rsid w:val="3FC0057A"/>
    <w:rsid w:val="40126F43"/>
    <w:rsid w:val="425E118F"/>
    <w:rsid w:val="43716BA9"/>
    <w:rsid w:val="44E8418B"/>
    <w:rsid w:val="45C2510F"/>
    <w:rsid w:val="46F0277E"/>
    <w:rsid w:val="47B2458A"/>
    <w:rsid w:val="49136D17"/>
    <w:rsid w:val="49325F42"/>
    <w:rsid w:val="49DB1E04"/>
    <w:rsid w:val="49EE2B4D"/>
    <w:rsid w:val="4B7033E4"/>
    <w:rsid w:val="4F2B3B05"/>
    <w:rsid w:val="4F3D659F"/>
    <w:rsid w:val="52145EE2"/>
    <w:rsid w:val="538114A4"/>
    <w:rsid w:val="54AE5DAD"/>
    <w:rsid w:val="57CA584B"/>
    <w:rsid w:val="5AE22543"/>
    <w:rsid w:val="5BBD3D11"/>
    <w:rsid w:val="5C8F7981"/>
    <w:rsid w:val="5DBB53CC"/>
    <w:rsid w:val="5FD73794"/>
    <w:rsid w:val="60647EB6"/>
    <w:rsid w:val="609F1996"/>
    <w:rsid w:val="610C5BEA"/>
    <w:rsid w:val="649B63FC"/>
    <w:rsid w:val="653501C5"/>
    <w:rsid w:val="65E738CB"/>
    <w:rsid w:val="663E614C"/>
    <w:rsid w:val="668F66D2"/>
    <w:rsid w:val="66B70634"/>
    <w:rsid w:val="68FD5D5B"/>
    <w:rsid w:val="69A24D27"/>
    <w:rsid w:val="69D42CB8"/>
    <w:rsid w:val="6A333127"/>
    <w:rsid w:val="6B743AC4"/>
    <w:rsid w:val="6C227DB7"/>
    <w:rsid w:val="6CE2153C"/>
    <w:rsid w:val="70763F9A"/>
    <w:rsid w:val="72A638AD"/>
    <w:rsid w:val="72F85BFE"/>
    <w:rsid w:val="782A6906"/>
    <w:rsid w:val="78A155D2"/>
    <w:rsid w:val="79341B08"/>
    <w:rsid w:val="7A4E33A4"/>
    <w:rsid w:val="7A7A06ED"/>
    <w:rsid w:val="7AA4268F"/>
    <w:rsid w:val="7AEE6B12"/>
    <w:rsid w:val="7BA026E0"/>
    <w:rsid w:val="7BED6D2C"/>
    <w:rsid w:val="7D1559B4"/>
    <w:rsid w:val="7EDD65A0"/>
    <w:rsid w:val="7EEF3602"/>
    <w:rsid w:val="7F957D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qFormat="1"/>
    <w:lsdException w:name="header" w:semiHidden="0" w:uiPriority="0" w:unhideWhenUsed="0"/>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CommentText">
    <w:name w:val="annotation text"/>
    <w:basedOn w:val="Normal"/>
    <w:qFormat/>
    <w:pPr>
      <w:jc w:val="left"/>
    </w:pPr>
  </w:style>
  <w:style w:type="paragraph" w:styleId="BodyTextIndent">
    <w:name w:val="Body Text Indent"/>
    <w:basedOn w:val="Normal"/>
    <w:qFormat/>
    <w:pPr>
      <w:spacing w:after="120" w:afterLines="0" w:afterAutospacing="0"/>
      <w:ind w:left="420" w:leftChars="200"/>
    </w:pPr>
  </w:style>
  <w:style w:type="paragraph" w:styleId="Footer">
    <w:name w:val="footer"/>
    <w:basedOn w:val="Normal"/>
    <w:uiPriority w:val="99"/>
    <w:qFormat/>
    <w:pPr>
      <w:widowControl w:val="0"/>
      <w:tabs>
        <w:tab w:val="center" w:pos="4153"/>
        <w:tab w:val="right" w:pos="8306"/>
      </w:tabs>
      <w:snapToGrid w:val="0"/>
      <w:jc w:val="left"/>
    </w:pPr>
    <w:rPr>
      <w:rFonts w:ascii="Times New Roman" w:eastAsia="宋体" w:hAnsi="Times New Roman" w:cs="Times New Roman"/>
      <w:kern w:val="2"/>
      <w:sz w:val="18"/>
      <w:szCs w:val="18"/>
      <w:lang w:val="en-US" w:eastAsia="zh-CN" w:bidi="ar-SA"/>
    </w:r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paragraph" w:styleId="BodyTextFirstIndent2">
    <w:name w:val="Body Text First Indent 2"/>
    <w:basedOn w:val="BodyTextIndent"/>
    <w:qFormat/>
    <w:pPr>
      <w:ind w:firstLine="420" w:firstLineChars="200"/>
    </w:pPr>
  </w:style>
  <w:style w:type="character" w:styleId="Strong">
    <w:name w:val="Strong"/>
    <w:basedOn w:val="DefaultParagraphFont"/>
    <w:qFormat/>
    <w:rPr>
      <w:b/>
    </w:rPr>
  </w:style>
  <w:style w:type="paragraph" w:customStyle="1" w:styleId="a">
    <w:name w:val="中文摘要"/>
    <w:basedOn w:val="Normal"/>
    <w:next w:val="Normal"/>
    <w:qFormat/>
    <w:pPr>
      <w:widowControl w:val="0"/>
      <w:suppressAutoHyphens/>
      <w:autoSpaceDE w:val="0"/>
      <w:autoSpaceDN w:val="0"/>
      <w:snapToGrid w:val="0"/>
      <w:spacing w:before="120" w:beforeLines="50" w:line="300" w:lineRule="exact"/>
      <w:jc w:val="both"/>
    </w:pPr>
    <w:rPr>
      <w:rFonts w:ascii="Times New Roman" w:eastAsia="宋体" w:hAnsi="Times New Roman" w:cs="Times New Roman"/>
      <w:color w:val="000000"/>
      <w:kern w:val="0"/>
      <w:sz w:val="18"/>
      <w:szCs w:val="18"/>
      <w:lang w:val="zh-CN"/>
      <w14:ligatures w14:val="none"/>
    </w:rPr>
  </w:style>
  <w:style w:type="paragraph" w:customStyle="1" w:styleId="1">
    <w:name w:val="节题1"/>
    <w:basedOn w:val="Normal"/>
    <w:next w:val="Normal"/>
    <w:qFormat/>
    <w:pPr>
      <w:widowControl w:val="0"/>
      <w:suppressAutoHyphens/>
      <w:autoSpaceDE w:val="0"/>
      <w:autoSpaceDN w:val="0"/>
      <w:snapToGrid w:val="0"/>
      <w:spacing w:before="120" w:beforeLines="50" w:after="120" w:afterLines="50" w:line="314" w:lineRule="atLeast"/>
      <w:jc w:val="both"/>
    </w:pPr>
    <w:rPr>
      <w:rFonts w:ascii="Times New Roman" w:eastAsia="宋体" w:hAnsi="Times New Roman" w:cs="Times New Roman"/>
      <w:b/>
      <w:bCs/>
      <w:sz w:val="24"/>
      <w14:ligatures w14:val="none"/>
    </w:rPr>
  </w:style>
  <w:style w:type="paragraph" w:customStyle="1" w:styleId="ParaCharCharCharCharCharCharChar">
    <w:name w:val="默认段落字体 Para Char Char Char Char Char Char Char"/>
    <w:basedOn w:val="Normal"/>
    <w:qFormat/>
    <w:rPr>
      <w:rFonts w:ascii="Tahoma" w:hAnsi="Tahoma"/>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648</Words>
  <Characters>648</Characters>
  <Application>Microsoft Office Word</Application>
  <DocSecurity>0</DocSecurity>
  <Lines>0</Lines>
  <Paragraphs>0</Paragraphs>
  <ScaleCrop>false</ScaleCrop>
  <Company/>
  <LinksUpToDate>false</LinksUpToDate>
  <CharactersWithSpaces>648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2026-11-02T14:05:01Z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