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p>
    <w:p w14:paraId="41FF5FF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p>
    <w:p w14:paraId="30CABE9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highlight w:val="yellow"/>
          <w:lang w:val="en-US" w:eastAsia="zh-CN"/>
        </w:rPr>
      </w:pPr>
      <w:r>
        <w:rPr>
          <w:rFonts w:ascii="宋体" w:eastAsia="宋体" w:hAnsi="宋体" w:cs="宋体" w:hint="default"/>
          <w:color w:val="auto"/>
          <w:highlight w:val="yellow"/>
          <w:lang w:val="en-US" w:eastAsia="zh-CN"/>
        </w:rPr>
        <w:t>论我国网络购物消费者权益的法律保护</w:t>
      </w:r>
    </w:p>
    <w:p w14:paraId="3A98D0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p>
    <w:p w14:paraId="5539B0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摘要：</w:t>
      </w:r>
      <w:r>
        <w:rPr>
          <w:rFonts w:ascii="宋体" w:eastAsia="宋体" w:hAnsi="宋体" w:cs="宋体" w:hint="eastAsia"/>
          <w:color w:val="FF0000"/>
          <w:lang w:val="en-US" w:eastAsia="zh-CN"/>
        </w:rPr>
        <w:t>线上交易通过电子媒介达成交易，由于交易双方的信息不对称，对于消费者的权益主张会造成很大的影响。通过对多起消费纠纷台账的整理，总结出信息隐瞒、格式条款滥用、退货执行不力等常见的情形，并将这些情形与《中华人民共和国民法典》、《中华人民共和国消费者权益保护法》、《中华人民共和国电子商务法》等法律条文进行对照分析，找出普通电商交易与直播、跨境交易之间的差别。梳理可知目前的规范中部分条款过于原则化，在小额争议取证以及异地主体调查环节适用性较差，仅对常规网购纠纷做了分析，对于特殊新业态中产生的权利冲突没有涉及，对策的实施效果还需要结合纠纷解决的案例进行不断的检验。</w:t>
      </w:r>
    </w:p>
    <w:p w14:paraId="36A8DA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0" w:firstLineChars="1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 xml:space="preserve">  关键词：网络购物；消费者权益；格式条款；七日无理由退货；消费纠纷</w:t>
      </w:r>
    </w:p>
    <w:p w14:paraId="1C5589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引言</w:t>
      </w:r>
    </w:p>
    <w:p w14:paraId="7BED909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从日常消费纠纷接收登记中发现的网购纠纷数量一直呈上升趋势。很多纠纷中经营者利用线上交易的优势隐藏重要的信息，设置不公平交易条件，消费者提出退货、索赔的要求时阻力较大。已有法律条文可以作为基础的处理依据，但是条文表述比较概括，对于跨区域经营、电子证据容易被篡改等现场情况，裁判、调解尺度容易出现偏差。根据已经归档的纠纷记录进行整理，核对条文适用中出现的卡点方便以后同类纠纷的处理</w:t>
      </w:r>
      <w:r>
        <w:rPr>
          <w:rFonts w:ascii="宋体" w:eastAsia="宋体" w:hAnsi="宋体" w:cs="宋体" w:hint="eastAsia"/>
          <w:color w:val="FF0000"/>
          <w:lang w:val="en-US" w:eastAsia="zh-CN"/>
        </w:rPr>
        <w:t>。</w:t>
      </w:r>
    </w:p>
    <w:p w14:paraId="0FE731D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p>
    <w:p w14:paraId="7AE7491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highlight w:val="yellow"/>
          <w:lang w:val="en-US" w:eastAsia="zh-CN"/>
        </w:rPr>
      </w:pPr>
      <w:r>
        <w:rPr>
          <w:rFonts w:ascii="宋体" w:eastAsia="宋体" w:hAnsi="宋体" w:cs="宋体" w:hint="default"/>
          <w:color w:val="auto"/>
          <w:highlight w:val="yellow"/>
          <w:lang w:val="en-US" w:eastAsia="zh-CN"/>
        </w:rPr>
        <w:t>银发经济背景下邢台“助餐+康养文旅”嵌入式服务模式研究</w:t>
      </w:r>
    </w:p>
    <w:p w14:paraId="1A194BF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p>
    <w:p w14:paraId="608B3C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摘要：</w:t>
      </w:r>
      <w:r>
        <w:rPr>
          <w:rFonts w:ascii="宋体" w:eastAsia="宋体" w:hAnsi="宋体" w:cs="宋体" w:hint="eastAsia"/>
          <w:color w:val="FF0000"/>
          <w:lang w:val="en-US" w:eastAsia="zh-CN"/>
        </w:rPr>
        <w:t>邢台市域地貌呈梯度分布，山区村落分散，老年人群内部需求差别大。当地助餐点位普遍存在营收平衡的压力，康养文旅资源适老化配套设施欠缺，两种服务一直各自独立运营，不能相互交流。本文在区域资源状况以及老年群体的现实需求基础上，对助餐服务和康养文旅业态嵌入融合发展进行研究，搭建起三级节点、多方主体联动的服务架构，并提出优化方向。此模式更适于山地与平原交错、养老资源分散地区推行，落地时要根据各个片区的人口结构、运营成本灵活调整方案。</w:t>
      </w:r>
    </w:p>
    <w:p w14:paraId="0570BA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关键词：银发经济；助餐服务；康养文旅；嵌入式服务；老年服务</w:t>
      </w:r>
    </w:p>
    <w:p w14:paraId="1D720C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引言</w:t>
      </w:r>
    </w:p>
    <w:p w14:paraId="475BF5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邢台位于河北省南部，太行山东麓，市域自西向东依次是山地、丘陵、平原，地势起伏大、差异明显，不同县域的人口分布特点也大相径庭。西部山区村落分散，青壮年外出务工较多，老年人占比较高，东部平原和城区人口比较集中，退休人口规模越来越大，老年人生活照料、休闲养生的需求也日趋分化。当地陆续建成了一批社区助餐点、日间照料中心，西部山区虽有生态、中医药类文旅资源，但是两类服务都属于不同的运营体系，造成资源闲置和衔接不畅的现象一直存在。本文在分析区域现实的基础上，就助餐和康养文旅嵌入式服务发展进行研究，并给出适应本地实际情况的服务运行方式。</w:t>
      </w:r>
    </w:p>
    <w:p w14:paraId="09C80A2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p>
    <w:p w14:paraId="3CA76A8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p>
    <w:p w14:paraId="5E9D033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highlight w:val="yellow"/>
          <w:lang w:val="en-US" w:eastAsia="zh-CN"/>
        </w:rPr>
      </w:pPr>
      <w:bookmarkStart w:id="0" w:name="_GoBack"/>
      <w:r>
        <w:rPr>
          <w:rFonts w:ascii="宋体" w:eastAsia="宋体" w:hAnsi="宋体" w:cs="宋体" w:hint="default"/>
          <w:color w:val="auto"/>
          <w:highlight w:val="yellow"/>
          <w:lang w:val="en-US" w:eastAsia="zh-CN"/>
        </w:rPr>
        <w:t>道路改扩建老路沥青夹层病害处治方案优化及工程实践</w:t>
      </w:r>
    </w:p>
    <w:bookmarkEnd w:id="0"/>
    <w:p w14:paraId="5AE29D4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p>
    <w:p w14:paraId="6DD00C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摘要：</w:t>
      </w:r>
      <w:r>
        <w:rPr>
          <w:rFonts w:ascii="宋体" w:eastAsia="宋体" w:hAnsi="宋体" w:cs="宋体" w:hint="eastAsia"/>
          <w:color w:val="FF0000"/>
          <w:lang w:val="en-US" w:eastAsia="zh-CN"/>
        </w:rPr>
        <w:t>塔大线改扩建工程采用原有的就地冷再生方案时，由于破碎拌和深度的限制，不能清除二灰碎石基层下残留的老路沥青夹层，夹层残留容易造成层间滑移和应力集中。对现场存在的问题提出原冷再生维持、局部挖除夹层、整体挖除换填水泥稳定碎石三个方案，并从结构稳定、施工可行性、造价、工期、长期病害等几个方面进行对比，最终决定对铣刨面层、挖除二灰碎石基层和夹层、分层换填水泥稳定碎石采用铣刨面层、挖除二灰碎石基层及夹层、分层换填水泥稳定碎石的处理方式，换填水稳分两层18cm和两层16cm分层摊铺碾压。完工路段压实度、弯沉、芯样抗压强度检测显示基层整体性能达到设计规范要求，消除了夹层隐患，有参考意义。</w:t>
      </w:r>
    </w:p>
    <w:p w14:paraId="55F4689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关键词：老路沥青夹层；水泥稳定碎石换填；处治方案比选</w:t>
      </w:r>
    </w:p>
    <w:p w14:paraId="093513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引言</w:t>
      </w:r>
    </w:p>
    <w:p w14:paraId="34E834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塔大线改扩建工程原设计采用就地冷再生底基层，分段开挖时发现部分修补路段二灰碎石基层下有连续的老路沥青夹层。继续使用原方案，冷再生不能将夹层破碎清除，夹层会成为基层内部的软弱界面，造成底基层整体性能和承载能力的下降。根据项目地质、工期、投资控制需要进行夹层病害成因及处治方案的比较，选择合适的处治方法，总结隐蔽沥青夹层防治要点，为类似改扩建工程提供借鉴。</w:t>
      </w:r>
    </w:p>
    <w:p w14:paraId="41E6F96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B9F6C6E"/>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DF0412"/>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77A782"/>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apple</cp:lastModifiedBy>
  <cp:revision>0</cp:revision>
  <dcterms:created xsi:type="dcterms:W3CDTF">2025-01-02T10:06:00Z</dcterms:created>
  <dcterms:modified xsi:type="dcterms:W3CDTF">2026-11-02T21:40:11Z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