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01A1B2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b w:val="0"/>
          <w:sz w:val="21"/>
          <w:szCs w:val="21"/>
        </w:rPr>
      </w:pPr>
    </w:p>
    <w:p w14:paraId="620F678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该省级烟草商业企业下辖12家市级公司、56家县级分公司，业务涉及卷烟营销、物流配送、专卖管理、烟叶生产、多元化投资等各个方面，设置了纪检、巡视巡察、审计、财务、法规、内控等监督机构，但是监督信息共享不充分、业务数据停留在结果汇总、基层“小微权力”运行风险大、整改以</w:t>
      </w:r>
      <w:r>
        <w:rPr>
          <w:rFonts w:ascii="宋体" w:eastAsia="宋体" w:hAnsi="宋体" w:cs="宋体" w:hint="eastAsia"/>
          <w:b w:val="0"/>
          <w:sz w:val="21"/>
          <w:szCs w:val="21"/>
          <w:lang w:val="en-US" w:eastAsia="zh-CN"/>
        </w:rPr>
        <w:t>事论</w:t>
      </w:r>
      <w:r>
        <w:rPr>
          <w:rFonts w:ascii="宋体" w:eastAsia="宋体" w:hAnsi="宋体" w:cs="宋体" w:hint="eastAsia"/>
          <w:b w:val="0"/>
          <w:sz w:val="21"/>
          <w:szCs w:val="21"/>
        </w:rPr>
        <w:t>事、数智</w:t>
      </w:r>
      <w:r>
        <w:rPr>
          <w:rFonts w:ascii="宋体" w:eastAsia="宋体" w:hAnsi="宋体" w:cs="宋体" w:hint="eastAsia"/>
          <w:b w:val="0"/>
          <w:sz w:val="21"/>
          <w:szCs w:val="21"/>
          <w:lang w:val="en-US" w:eastAsia="zh-CN"/>
        </w:rPr>
        <w:t>化</w:t>
      </w:r>
      <w:r>
        <w:rPr>
          <w:rFonts w:ascii="宋体" w:eastAsia="宋体" w:hAnsi="宋体" w:cs="宋体" w:hint="eastAsia"/>
          <w:b w:val="0"/>
          <w:sz w:val="21"/>
          <w:szCs w:val="21"/>
        </w:rPr>
        <w:t>监督基础薄弱等问题仍然存在。物流设备采购项目专项检查中发现的一次代表性项目具有较强的代表性，该项目的程序完备，但是需求论证同已有设备使用率存在不相适应的情况，供应商具有共同联系人以及相近报价，投入使用之后的实际效能没能达到预期的目标，而审计之前就对采购需求管理提出过规范要求，但是并未被纳入统一整改台账之中，导致风险被延续了下去。说明监督只是停留在业务的表面，没有真正地深入到业务流程以及权力的运行当中。本文主要就课程案例第四题、第六题围绕济南</w:t>
      </w:r>
      <w:r>
        <w:rPr>
          <w:rFonts w:ascii="宋体" w:eastAsia="宋体" w:hAnsi="宋体" w:cs="宋体" w:hint="eastAsia"/>
          <w:b w:val="0"/>
          <w:sz w:val="21"/>
          <w:szCs w:val="21"/>
          <w:lang w:eastAsia="zh-CN"/>
        </w:rPr>
        <w:t>市</w:t>
      </w:r>
      <w:r>
        <w:rPr>
          <w:rFonts w:ascii="宋体" w:eastAsia="宋体" w:hAnsi="宋体" w:cs="宋体" w:hint="eastAsia"/>
          <w:b w:val="0"/>
          <w:sz w:val="21"/>
          <w:szCs w:val="21"/>
        </w:rPr>
        <w:t>局（公</w:t>
      </w:r>
      <w:r>
        <w:rPr>
          <w:rFonts w:ascii="宋体" w:eastAsia="宋体" w:hAnsi="宋体" w:cs="宋体" w:hint="eastAsia"/>
          <w:b w:val="0"/>
          <w:sz w:val="21"/>
          <w:szCs w:val="21"/>
          <w:lang w:eastAsia="zh-CN"/>
        </w:rPr>
        <w:t>司</w:t>
      </w:r>
      <w:r>
        <w:rPr>
          <w:rFonts w:ascii="宋体" w:eastAsia="宋体" w:hAnsi="宋体" w:cs="宋体" w:hint="eastAsia"/>
          <w:b w:val="0"/>
          <w:sz w:val="21"/>
          <w:szCs w:val="21"/>
        </w:rPr>
        <w:t>）“大监督”工作展开论述。</w:t>
      </w:r>
    </w:p>
    <w:p w14:paraId="64BD13E4">
      <w:pPr>
        <w:keepNext w:val="0"/>
        <w:keepLines w:val="0"/>
        <w:pageBreakBefore w:val="0"/>
        <w:widowControl/>
        <w:kinsoku/>
        <w:wordWrap/>
        <w:overflowPunct/>
        <w:topLinePunct w:val="0"/>
        <w:autoSpaceDE/>
        <w:autoSpaceDN/>
        <w:bidi w:val="0"/>
        <w:adjustRightInd/>
        <w:snapToGrid/>
        <w:spacing w:after="0" w:line="360" w:lineRule="auto"/>
        <w:ind w:firstLine="560"/>
        <w:textAlignment w:val="auto"/>
        <w:rPr>
          <w:rFonts w:ascii="宋体" w:eastAsia="宋体" w:hAnsi="宋体" w:cs="宋体" w:hint="eastAsia"/>
          <w:b/>
          <w:sz w:val="21"/>
          <w:szCs w:val="21"/>
        </w:rPr>
      </w:pPr>
    </w:p>
    <w:p w14:paraId="4DA576AE">
      <w:pPr>
        <w:keepNext w:val="0"/>
        <w:keepLines w:val="0"/>
        <w:pageBreakBefore w:val="0"/>
        <w:widowControl/>
        <w:kinsoku/>
        <w:wordWrap/>
        <w:overflowPunct/>
        <w:topLinePunct w:val="0"/>
        <w:autoSpaceDE/>
        <w:autoSpaceDN/>
        <w:bidi w:val="0"/>
        <w:adjustRightInd/>
        <w:snapToGrid/>
        <w:spacing w:after="0" w:line="360" w:lineRule="auto"/>
        <w:ind w:firstLine="560"/>
        <w:textAlignment w:val="auto"/>
        <w:rPr>
          <w:rFonts w:ascii="宋体" w:eastAsia="宋体" w:hAnsi="宋体" w:cs="宋体" w:hint="eastAsia"/>
          <w:sz w:val="21"/>
          <w:szCs w:val="21"/>
        </w:rPr>
      </w:pPr>
      <w:r>
        <w:rPr>
          <w:rFonts w:ascii="宋体" w:eastAsia="宋体" w:hAnsi="宋体" w:cs="宋体" w:hint="eastAsia"/>
          <w:b/>
          <w:sz w:val="21"/>
          <w:szCs w:val="21"/>
        </w:rPr>
        <w:t>（一）设计依据与总体思路</w:t>
      </w:r>
    </w:p>
    <w:p w14:paraId="739C27A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设计综合监管体系之前首先要解决穿透什么、由谁来监管、如何协同</w:t>
      </w:r>
      <w:r>
        <w:rPr>
          <w:rFonts w:ascii="宋体" w:eastAsia="宋体" w:hAnsi="宋体" w:cs="宋体" w:hint="eastAsia"/>
          <w:b w:val="0"/>
          <w:sz w:val="21"/>
          <w:szCs w:val="21"/>
          <w:lang w:val="en-US" w:eastAsia="zh-CN"/>
        </w:rPr>
        <w:t>这</w:t>
      </w:r>
      <w:r>
        <w:rPr>
          <w:rFonts w:ascii="宋体" w:eastAsia="宋体" w:hAnsi="宋体" w:cs="宋体" w:hint="eastAsia"/>
          <w:b w:val="0"/>
          <w:sz w:val="21"/>
          <w:szCs w:val="21"/>
        </w:rPr>
        <w:t>三个问题。中央就加强中央企业穿透式监管提出全主体、全交易、全实质穿透要求，穿透到最终的出资主体、底层的交易本质、实际的受益人，给烟草企业把监督深入到基层末端提供依据。会计信息质量要求实质重于形式的思想给穿透提供判定标准，物流设备采购项目表面上合规，但是实际经济实质却不存在，所以监督对象是交易动因而不是凭证形式。以此为依据，体系总体思路概括为</w:t>
      </w:r>
      <w:r>
        <w:rPr>
          <w:rFonts w:ascii="宋体" w:eastAsia="宋体" w:hAnsi="宋体" w:cs="宋体" w:hint="eastAsia"/>
          <w:b w:val="0"/>
          <w:sz w:val="21"/>
          <w:szCs w:val="21"/>
          <w:lang w:eastAsia="zh-CN"/>
        </w:rPr>
        <w:t>“</w:t>
      </w:r>
      <w:r>
        <w:rPr>
          <w:rFonts w:ascii="宋体" w:eastAsia="宋体" w:hAnsi="宋体" w:cs="宋体" w:hint="eastAsia"/>
          <w:b w:val="0"/>
          <w:sz w:val="21"/>
          <w:szCs w:val="21"/>
        </w:rPr>
        <w:t>一核统领、三线并进、四维穿透、五环闭环、一平台支撑</w:t>
      </w:r>
      <w:r>
        <w:rPr>
          <w:rFonts w:ascii="宋体" w:eastAsia="宋体" w:hAnsi="宋体" w:cs="宋体" w:hint="eastAsia"/>
          <w:b w:val="0"/>
          <w:sz w:val="21"/>
          <w:szCs w:val="21"/>
          <w:lang w:eastAsia="zh-CN"/>
        </w:rPr>
        <w:t>”</w:t>
      </w:r>
      <w:r>
        <w:rPr>
          <w:rFonts w:ascii="宋体" w:eastAsia="宋体" w:hAnsi="宋体" w:cs="宋体" w:hint="eastAsia"/>
          <w:b w:val="0"/>
          <w:sz w:val="21"/>
          <w:szCs w:val="21"/>
        </w:rPr>
        <w:t>。</w:t>
      </w:r>
    </w:p>
    <w:p w14:paraId="1A894CFA">
      <w:pPr>
        <w:keepNext w:val="0"/>
        <w:keepLines w:val="0"/>
        <w:pageBreakBefore w:val="0"/>
        <w:widowControl/>
        <w:kinsoku/>
        <w:wordWrap/>
        <w:overflowPunct/>
        <w:topLinePunct w:val="0"/>
        <w:autoSpaceDE/>
        <w:autoSpaceDN/>
        <w:bidi w:val="0"/>
        <w:adjustRightInd/>
        <w:snapToGrid/>
        <w:spacing w:after="0" w:line="360" w:lineRule="auto"/>
        <w:ind w:firstLine="560"/>
        <w:textAlignment w:val="auto"/>
        <w:rPr>
          <w:rFonts w:ascii="宋体" w:eastAsia="宋体" w:hAnsi="宋体" w:cs="宋体" w:hint="eastAsia"/>
          <w:sz w:val="21"/>
          <w:szCs w:val="21"/>
        </w:rPr>
      </w:pPr>
      <w:r>
        <w:rPr>
          <w:rFonts w:ascii="宋体" w:eastAsia="宋体" w:hAnsi="宋体" w:cs="宋体" w:hint="eastAsia"/>
          <w:b/>
          <w:sz w:val="21"/>
          <w:szCs w:val="21"/>
        </w:rPr>
        <w:t>（二）一核统领与三线并进，明确职责边界</w:t>
      </w:r>
    </w:p>
    <w:p w14:paraId="3849830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b w:val="0"/>
          <w:sz w:val="21"/>
          <w:szCs w:val="21"/>
        </w:rPr>
      </w:pPr>
      <w:r>
        <w:rPr>
          <w:rFonts w:ascii="宋体" w:eastAsia="宋体" w:hAnsi="宋体" w:cs="宋体" w:hint="eastAsia"/>
          <w:b w:val="0"/>
          <w:sz w:val="21"/>
          <w:szCs w:val="21"/>
          <w:lang w:val="en-US" w:eastAsia="zh-CN"/>
        </w:rPr>
        <w:t>1.</w:t>
      </w:r>
      <w:r>
        <w:rPr>
          <w:rFonts w:ascii="宋体" w:eastAsia="宋体" w:hAnsi="宋体" w:cs="宋体" w:hint="eastAsia"/>
          <w:b w:val="0"/>
          <w:sz w:val="21"/>
          <w:szCs w:val="21"/>
        </w:rPr>
        <w:t>一核统领解决统一领导问题</w:t>
      </w:r>
    </w:p>
    <w:p w14:paraId="54DDFCF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按照济南市局（公司）“</w:t>
      </w:r>
      <w:r>
        <w:rPr>
          <w:rFonts w:ascii="宋体" w:eastAsia="宋体" w:hAnsi="宋体" w:cs="宋体" w:hint="eastAsia"/>
          <w:b w:val="0"/>
          <w:sz w:val="21"/>
          <w:szCs w:val="21"/>
          <w:lang w:eastAsia="zh-CN"/>
        </w:rPr>
        <w:t>大</w:t>
      </w:r>
      <w:r>
        <w:rPr>
          <w:rFonts w:ascii="宋体" w:eastAsia="宋体" w:hAnsi="宋体" w:cs="宋体" w:hint="eastAsia"/>
          <w:b w:val="0"/>
          <w:sz w:val="21"/>
          <w:szCs w:val="21"/>
        </w:rPr>
        <w:t>监督”</w:t>
      </w:r>
      <w:r>
        <w:rPr>
          <w:rFonts w:ascii="宋体" w:eastAsia="宋体" w:hAnsi="宋体" w:cs="宋体" w:hint="eastAsia"/>
          <w:b w:val="0"/>
          <w:sz w:val="21"/>
          <w:szCs w:val="21"/>
          <w:lang w:eastAsia="zh-CN"/>
        </w:rPr>
        <w:t>工</w:t>
      </w:r>
      <w:r>
        <w:rPr>
          <w:rFonts w:ascii="宋体" w:eastAsia="宋体" w:hAnsi="宋体" w:cs="宋体" w:hint="eastAsia"/>
          <w:b w:val="0"/>
          <w:sz w:val="21"/>
          <w:szCs w:val="21"/>
        </w:rPr>
        <w:t>作领导小组的设置，组长为党委书记，副组长为纪委书记，成员包括纪检监察、内管派驻、审计派驻、人事、党建、法规、综计、办公室、财务、智能客服等各相关单位的主要负责人，办公室设在纪检监察处，负责拟定年度监督计划，会商重大风险线索，决定成果的运用，不代替各主体开展检查、办案、定性的职能。</w:t>
      </w:r>
    </w:p>
    <w:p w14:paraId="20DA4CE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b w:val="0"/>
          <w:sz w:val="21"/>
          <w:szCs w:val="21"/>
        </w:rPr>
      </w:pPr>
      <w:r>
        <w:rPr>
          <w:rFonts w:ascii="宋体" w:eastAsia="宋体" w:hAnsi="宋体" w:cs="宋体" w:hint="eastAsia"/>
          <w:b w:val="0"/>
          <w:sz w:val="21"/>
          <w:szCs w:val="21"/>
          <w:lang w:val="en-US" w:eastAsia="zh-CN"/>
        </w:rPr>
        <w:t>2.</w:t>
      </w:r>
      <w:r>
        <w:rPr>
          <w:rFonts w:ascii="宋体" w:eastAsia="宋体" w:hAnsi="宋体" w:cs="宋体" w:hint="eastAsia"/>
          <w:b w:val="0"/>
          <w:sz w:val="21"/>
          <w:szCs w:val="21"/>
        </w:rPr>
        <w:t>三线并进解决防线分工问题</w:t>
      </w:r>
    </w:p>
    <w:p w14:paraId="33FC2D3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第一道防线是业务部门和内控，自己负责第一道防线的自我约束，第二道防线是财务、法规、内控，把关第一道防线的事前拦截，第三道防线是审计、巡察、纪检，执行独立监督。第三道防线越往后独立性越高、纠偏成本越大。</w:t>
      </w:r>
    </w:p>
    <w:p w14:paraId="53560B9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b w:val="0"/>
          <w:sz w:val="21"/>
          <w:szCs w:val="21"/>
        </w:rPr>
      </w:pPr>
      <w:r>
        <w:rPr>
          <w:rFonts w:ascii="宋体" w:eastAsia="宋体" w:hAnsi="宋体" w:cs="宋体" w:hint="eastAsia"/>
          <w:b w:val="0"/>
          <w:sz w:val="21"/>
          <w:szCs w:val="21"/>
          <w:lang w:val="en-US" w:eastAsia="zh-CN"/>
        </w:rPr>
        <w:t>3.</w:t>
      </w:r>
      <w:r>
        <w:rPr>
          <w:rFonts w:ascii="宋体" w:eastAsia="宋体" w:hAnsi="宋体" w:cs="宋体" w:hint="eastAsia"/>
          <w:b w:val="0"/>
          <w:sz w:val="21"/>
          <w:szCs w:val="21"/>
        </w:rPr>
        <w:t>四维穿透解决监督深度问题</w:t>
      </w:r>
    </w:p>
    <w:p w14:paraId="39366F3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业务穿透从立项、供应商准入、招标、履约、验收、运行效果一步步回溯，看实质有没有真的存在；资金穿透从账户、流水、对手方、最终收款人追踪，看资金是否形成闭环；权力穿透从岗位、授权、审批、利益关联追溯，看权力是否寻租；数据穿透通过内外部数据交叉核验，看关系是否隐形。四维层层递进，共同保证监督穿透到实质。</w:t>
      </w:r>
    </w:p>
    <w:p w14:paraId="0EC3FCB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职责边界要把握三条标准来加以区分。监督和监管是两个不同的概念，业务监管对本领域的事务负直接责任，监督主体对业务部门的履职情况进行评价，而不是代替业务部门管理。区分监督与执行，监督主体不能进入业务审批的环节，不签字、不背书、不参与决策，财会监督可以决定支付是否合理，但不能决定是否采购。区分发现和认定，审计发现管理缺陷，纪检认定违纪事实，由于不同的依据、不同的程序而不能相互代替。七类监督主体的定位就变得一目了然，纪检监督管权力运行和违纪违法，巡视巡察管政治责任的落实，审计监督管经济事项的真实性与效益，财会监督管资金和会计信息，法律合规管合法性审查，内控管理管流程及授权控制，业务监管管本领域直接责任。</w:t>
      </w:r>
    </w:p>
    <w:p w14:paraId="7E27D36C">
      <w:pPr>
        <w:keepNext w:val="0"/>
        <w:keepLines w:val="0"/>
        <w:pageBreakBefore w:val="0"/>
        <w:widowControl/>
        <w:kinsoku/>
        <w:wordWrap/>
        <w:overflowPunct/>
        <w:topLinePunct w:val="0"/>
        <w:autoSpaceDE/>
        <w:autoSpaceDN/>
        <w:bidi w:val="0"/>
        <w:adjustRightInd/>
        <w:snapToGrid/>
        <w:spacing w:after="0" w:line="360" w:lineRule="auto"/>
        <w:ind w:firstLine="560"/>
        <w:textAlignment w:val="auto"/>
        <w:rPr>
          <w:rFonts w:ascii="宋体" w:eastAsia="宋体" w:hAnsi="宋体" w:cs="宋体" w:hint="eastAsia"/>
          <w:sz w:val="21"/>
          <w:szCs w:val="21"/>
        </w:rPr>
      </w:pPr>
      <w:r>
        <w:rPr>
          <w:rFonts w:ascii="宋体" w:eastAsia="宋体" w:hAnsi="宋体" w:cs="宋体" w:hint="eastAsia"/>
          <w:b/>
          <w:sz w:val="21"/>
          <w:szCs w:val="21"/>
        </w:rPr>
        <w:t>（三）五环闭环与六项机制，构建协同机制</w:t>
      </w:r>
    </w:p>
    <w:p w14:paraId="2505D77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综合监督体系的核心在于统，困难之处也是在统。框架在运行上设置了五个闭环的流程，计划阶段统筹风险的排序，实行一个事项一个立项；检查阶段联合编组、统一底稿；移送阶段问题性质不同采取不同的移送方式，限时移送并反馈；整改阶段一个问题一个编码，清单销号、双验收、回头看；应用阶段转化为制度修订、考核问责、案例教学。配套计划共商、信息共享、检查联动、线索移送、整改闭环、成果运用六个方面的协同机制，防止多头监督、重复检查给基层增加负担。</w:t>
      </w:r>
    </w:p>
    <w:p w14:paraId="145A3DD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济南市局（公司）的</w:t>
      </w:r>
      <w:r>
        <w:rPr>
          <w:rFonts w:ascii="宋体" w:eastAsia="宋体" w:hAnsi="宋体" w:cs="宋体" w:hint="eastAsia"/>
          <w:b w:val="0"/>
          <w:sz w:val="21"/>
          <w:szCs w:val="21"/>
          <w:lang w:eastAsia="zh-CN"/>
        </w:rPr>
        <w:t>大监</w:t>
      </w:r>
      <w:r>
        <w:rPr>
          <w:rFonts w:ascii="宋体" w:eastAsia="宋体" w:hAnsi="宋体" w:cs="宋体" w:hint="eastAsia"/>
          <w:b w:val="0"/>
          <w:sz w:val="21"/>
          <w:szCs w:val="21"/>
        </w:rPr>
        <w:t>督工作是</w:t>
      </w:r>
      <w:r>
        <w:rPr>
          <w:rFonts w:ascii="宋体" w:eastAsia="宋体" w:hAnsi="宋体" w:cs="宋体" w:hint="eastAsia"/>
          <w:b w:val="0"/>
          <w:sz w:val="21"/>
          <w:szCs w:val="21"/>
          <w:lang w:eastAsia="zh-CN"/>
        </w:rPr>
        <w:t>该</w:t>
      </w:r>
      <w:r>
        <w:rPr>
          <w:rFonts w:ascii="宋体" w:eastAsia="宋体" w:hAnsi="宋体" w:cs="宋体" w:hint="eastAsia"/>
          <w:b w:val="0"/>
          <w:sz w:val="21"/>
          <w:szCs w:val="21"/>
        </w:rPr>
        <w:t>框架的全部样本。其办法建立了一个完整的闭环工</w:t>
      </w:r>
      <w:r>
        <w:rPr>
          <w:rFonts w:ascii="宋体" w:eastAsia="宋体" w:hAnsi="宋体" w:cs="宋体" w:hint="eastAsia"/>
          <w:b w:val="0"/>
          <w:sz w:val="21"/>
          <w:szCs w:val="21"/>
          <w:lang w:eastAsia="zh-CN"/>
        </w:rPr>
        <w:t>作</w:t>
      </w:r>
      <w:r>
        <w:rPr>
          <w:rFonts w:ascii="宋体" w:eastAsia="宋体" w:hAnsi="宋体" w:cs="宋体" w:hint="eastAsia"/>
          <w:b w:val="0"/>
          <w:sz w:val="21"/>
          <w:szCs w:val="21"/>
        </w:rPr>
        <w:t>流程，即目标一致、资源共享、发现问题、</w:t>
      </w:r>
      <w:r>
        <w:rPr>
          <w:rFonts w:ascii="宋体" w:eastAsia="宋体" w:hAnsi="宋体" w:cs="宋体" w:hint="eastAsia"/>
          <w:b w:val="0"/>
          <w:sz w:val="21"/>
          <w:szCs w:val="21"/>
          <w:lang w:eastAsia="zh-CN"/>
        </w:rPr>
        <w:t>整</w:t>
      </w:r>
      <w:r>
        <w:rPr>
          <w:rFonts w:ascii="宋体" w:eastAsia="宋体" w:hAnsi="宋体" w:cs="宋体" w:hint="eastAsia"/>
          <w:b w:val="0"/>
          <w:sz w:val="21"/>
          <w:szCs w:val="21"/>
        </w:rPr>
        <w:t>改到位，依靠联席会议达成各个监督主体的信息交流、集体研判和统一整改的目的，工作台账使整改工作形成闭环管理，未在规定时间内完成整改的</w:t>
      </w:r>
      <w:r>
        <w:rPr>
          <w:rFonts w:ascii="宋体" w:eastAsia="宋体" w:hAnsi="宋体" w:cs="宋体" w:hint="eastAsia"/>
          <w:b w:val="0"/>
          <w:sz w:val="21"/>
          <w:szCs w:val="21"/>
          <w:lang w:eastAsia="zh-CN"/>
        </w:rPr>
        <w:t>督</w:t>
      </w:r>
      <w:r>
        <w:rPr>
          <w:rFonts w:ascii="宋体" w:eastAsia="宋体" w:hAnsi="宋体" w:cs="宋体" w:hint="eastAsia"/>
          <w:b w:val="0"/>
          <w:sz w:val="21"/>
          <w:szCs w:val="21"/>
        </w:rPr>
        <w:t>促“一竿子插</w:t>
      </w:r>
      <w:r>
        <w:rPr>
          <w:rFonts w:ascii="宋体" w:eastAsia="宋体" w:hAnsi="宋体" w:cs="宋体" w:hint="eastAsia"/>
          <w:b w:val="0"/>
          <w:sz w:val="21"/>
          <w:szCs w:val="21"/>
          <w:lang w:eastAsia="zh-CN"/>
        </w:rPr>
        <w:t>到</w:t>
      </w:r>
      <w:r>
        <w:rPr>
          <w:rFonts w:ascii="宋体" w:eastAsia="宋体" w:hAnsi="宋体" w:cs="宋体" w:hint="eastAsia"/>
          <w:b w:val="0"/>
          <w:sz w:val="21"/>
          <w:szCs w:val="21"/>
        </w:rPr>
        <w:t>底”。2025年</w:t>
      </w:r>
      <w:r>
        <w:rPr>
          <w:rFonts w:ascii="宋体" w:eastAsia="宋体" w:hAnsi="宋体" w:cs="宋体" w:hint="eastAsia"/>
          <w:b w:val="0"/>
          <w:sz w:val="21"/>
          <w:szCs w:val="21"/>
          <w:lang w:eastAsia="zh-CN"/>
        </w:rPr>
        <w:t>制</w:t>
      </w:r>
      <w:r>
        <w:rPr>
          <w:rFonts w:ascii="宋体" w:eastAsia="宋体" w:hAnsi="宋体" w:cs="宋体" w:hint="eastAsia"/>
          <w:b w:val="0"/>
          <w:sz w:val="21"/>
          <w:szCs w:val="21"/>
        </w:rPr>
        <w:t>定大监</w:t>
      </w:r>
      <w:r>
        <w:rPr>
          <w:rFonts w:ascii="宋体" w:eastAsia="宋体" w:hAnsi="宋体" w:cs="宋体" w:hint="eastAsia"/>
          <w:b w:val="0"/>
          <w:sz w:val="21"/>
          <w:szCs w:val="21"/>
          <w:lang w:eastAsia="zh-CN"/>
        </w:rPr>
        <w:t>督</w:t>
      </w:r>
      <w:r>
        <w:rPr>
          <w:rFonts w:ascii="宋体" w:eastAsia="宋体" w:hAnsi="宋体" w:cs="宋体" w:hint="eastAsia"/>
          <w:b w:val="0"/>
          <w:sz w:val="21"/>
          <w:szCs w:val="21"/>
        </w:rPr>
        <w:t>事项44项，移交问题8件，接收线索1件，完善</w:t>
      </w:r>
      <w:r>
        <w:rPr>
          <w:rFonts w:ascii="宋体" w:eastAsia="宋体" w:hAnsi="宋体" w:cs="宋体" w:hint="eastAsia"/>
          <w:b w:val="0"/>
          <w:sz w:val="21"/>
          <w:szCs w:val="21"/>
          <w:lang w:eastAsia="zh-CN"/>
        </w:rPr>
        <w:t>“</w:t>
      </w:r>
      <w:r>
        <w:rPr>
          <w:rFonts w:ascii="宋体" w:eastAsia="宋体" w:hAnsi="宋体" w:cs="宋体" w:hint="eastAsia"/>
          <w:b w:val="0"/>
          <w:sz w:val="21"/>
          <w:szCs w:val="21"/>
        </w:rPr>
        <w:t>纪巡审</w:t>
      </w:r>
      <w:r>
        <w:rPr>
          <w:rFonts w:ascii="宋体" w:eastAsia="宋体" w:hAnsi="宋体" w:cs="宋体" w:hint="eastAsia"/>
          <w:b w:val="0"/>
          <w:sz w:val="21"/>
          <w:szCs w:val="21"/>
          <w:lang w:eastAsia="zh-CN"/>
        </w:rPr>
        <w:t>”</w:t>
      </w:r>
      <w:r>
        <w:rPr>
          <w:rFonts w:ascii="宋体" w:eastAsia="宋体" w:hAnsi="宋体" w:cs="宋体" w:hint="eastAsia"/>
          <w:b w:val="0"/>
          <w:sz w:val="21"/>
          <w:szCs w:val="21"/>
        </w:rPr>
        <w:t>联动机制，查出廉洁风险点1809个；2026年上半年制定</w:t>
      </w:r>
      <w:r>
        <w:rPr>
          <w:rFonts w:ascii="宋体" w:eastAsia="宋体" w:hAnsi="宋体" w:cs="宋体" w:hint="eastAsia"/>
          <w:b w:val="0"/>
          <w:sz w:val="21"/>
          <w:szCs w:val="21"/>
          <w:lang w:eastAsia="zh-CN"/>
        </w:rPr>
        <w:t>大</w:t>
      </w:r>
      <w:r>
        <w:rPr>
          <w:rFonts w:ascii="宋体" w:eastAsia="宋体" w:hAnsi="宋体" w:cs="宋体" w:hint="eastAsia"/>
          <w:b w:val="0"/>
          <w:sz w:val="21"/>
          <w:szCs w:val="21"/>
        </w:rPr>
        <w:t>监督工</w:t>
      </w:r>
      <w:r>
        <w:rPr>
          <w:rFonts w:ascii="宋体" w:eastAsia="宋体" w:hAnsi="宋体" w:cs="宋体" w:hint="eastAsia"/>
          <w:b w:val="0"/>
          <w:sz w:val="21"/>
          <w:szCs w:val="21"/>
          <w:lang w:eastAsia="zh-CN"/>
        </w:rPr>
        <w:t>作</w:t>
      </w:r>
      <w:r>
        <w:rPr>
          <w:rFonts w:ascii="宋体" w:eastAsia="宋体" w:hAnsi="宋体" w:cs="宋体" w:hint="eastAsia"/>
          <w:b w:val="0"/>
          <w:sz w:val="21"/>
          <w:szCs w:val="21"/>
        </w:rPr>
        <w:t>计划43项，接收线索4件，构建起立体监</w:t>
      </w:r>
      <w:r>
        <w:rPr>
          <w:rFonts w:ascii="宋体" w:eastAsia="宋体" w:hAnsi="宋体" w:cs="宋体" w:hint="eastAsia"/>
          <w:b w:val="0"/>
          <w:sz w:val="21"/>
          <w:szCs w:val="21"/>
          <w:lang w:eastAsia="zh-CN"/>
        </w:rPr>
        <w:t>督</w:t>
      </w:r>
      <w:r>
        <w:rPr>
          <w:rFonts w:ascii="宋体" w:eastAsia="宋体" w:hAnsi="宋体" w:cs="宋体" w:hint="eastAsia"/>
          <w:b w:val="0"/>
          <w:sz w:val="21"/>
          <w:szCs w:val="21"/>
        </w:rPr>
        <w:t>的“1+1+N</w:t>
      </w:r>
      <w:r>
        <w:rPr>
          <w:rFonts w:ascii="宋体" w:eastAsia="宋体" w:hAnsi="宋体" w:cs="宋体" w:hint="eastAsia"/>
          <w:b w:val="0"/>
          <w:sz w:val="21"/>
          <w:szCs w:val="21"/>
          <w:lang w:eastAsia="zh-CN"/>
        </w:rPr>
        <w:t>+</w:t>
      </w:r>
      <w:r>
        <w:rPr>
          <w:rFonts w:ascii="宋体" w:eastAsia="宋体" w:hAnsi="宋体" w:cs="宋体" w:hint="eastAsia"/>
          <w:b w:val="0"/>
          <w:sz w:val="21"/>
          <w:szCs w:val="21"/>
        </w:rPr>
        <w:t>n”监督系统。</w:t>
      </w:r>
    </w:p>
    <w:p w14:paraId="7EAEB9C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内蒙古区局（公司）的“巡</w:t>
      </w:r>
      <w:r>
        <w:rPr>
          <w:rFonts w:ascii="宋体" w:eastAsia="宋体" w:hAnsi="宋体" w:cs="宋体" w:hint="eastAsia"/>
          <w:b w:val="0"/>
          <w:sz w:val="21"/>
          <w:szCs w:val="21"/>
          <w:lang w:eastAsia="zh-CN"/>
        </w:rPr>
        <w:t>审联</w:t>
      </w:r>
      <w:r>
        <w:rPr>
          <w:rFonts w:ascii="宋体" w:eastAsia="宋体" w:hAnsi="宋体" w:cs="宋体" w:hint="eastAsia"/>
          <w:b w:val="0"/>
          <w:sz w:val="21"/>
          <w:szCs w:val="21"/>
        </w:rPr>
        <w:t>动”是内蒙</w:t>
      </w:r>
      <w:r>
        <w:rPr>
          <w:rFonts w:ascii="宋体" w:eastAsia="宋体" w:hAnsi="宋体" w:cs="宋体" w:hint="eastAsia"/>
          <w:b w:val="0"/>
          <w:sz w:val="21"/>
          <w:szCs w:val="21"/>
          <w:lang w:eastAsia="zh-CN"/>
        </w:rPr>
        <w:t>古</w:t>
      </w:r>
      <w:r>
        <w:rPr>
          <w:rFonts w:ascii="宋体" w:eastAsia="宋体" w:hAnsi="宋体" w:cs="宋体" w:hint="eastAsia"/>
          <w:b w:val="0"/>
          <w:sz w:val="21"/>
          <w:szCs w:val="21"/>
        </w:rPr>
        <w:t>区局（公司）“巡审联动”机制的缩影。该局指派审计处副处长作为经济责任审计和常规巡察的同组组长、同组副组长，并对经济责任审计与常规巡察进行同谋划、同进驻、同实施，把审计发现的经济风险及时反馈给巡察组，用政治的视角来分析责任落实与制度执行的情况，</w:t>
      </w:r>
      <w:r>
        <w:rPr>
          <w:rFonts w:ascii="宋体" w:eastAsia="宋体" w:hAnsi="宋体" w:cs="宋体" w:hint="eastAsia"/>
          <w:b w:val="0"/>
          <w:sz w:val="21"/>
          <w:szCs w:val="21"/>
          <w:lang w:eastAsia="zh-CN"/>
        </w:rPr>
        <w:t>形</w:t>
      </w:r>
      <w:r>
        <w:rPr>
          <w:rFonts w:ascii="宋体" w:eastAsia="宋体" w:hAnsi="宋体" w:cs="宋体" w:hint="eastAsia"/>
          <w:b w:val="0"/>
          <w:sz w:val="21"/>
          <w:szCs w:val="21"/>
        </w:rPr>
        <w:t>成一个由经济问题线索到政治责任</w:t>
      </w:r>
      <w:r>
        <w:rPr>
          <w:rFonts w:ascii="宋体" w:eastAsia="宋体" w:hAnsi="宋体" w:cs="宋体" w:hint="eastAsia"/>
          <w:b w:val="0"/>
          <w:sz w:val="21"/>
          <w:szCs w:val="21"/>
          <w:lang w:eastAsia="zh-CN"/>
        </w:rPr>
        <w:t>研</w:t>
      </w:r>
      <w:r>
        <w:rPr>
          <w:rFonts w:ascii="宋体" w:eastAsia="宋体" w:hAnsi="宋体" w:cs="宋体" w:hint="eastAsia"/>
          <w:b w:val="0"/>
          <w:sz w:val="21"/>
          <w:szCs w:val="21"/>
        </w:rPr>
        <w:t>判的监督闭环。</w:t>
      </w:r>
    </w:p>
    <w:p w14:paraId="34472C7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财务监督的纵横贯通给体系的创建赋予了支持。国家烟草专卖局财务监督与管理司在文章中提出加强财会监督同审计监督、纪检监察、专卖监督等监督力量的协同，建立信息交流、线索移送、协同监督、成果共享等制度，依托全国烟草生产经营管理一体化平台推进财务数据和其它监督数据共享共用，表明综合监督体系应当在内部主体层面存在横向联系，在行业上下层面上具备纵向贯通。</w:t>
      </w:r>
    </w:p>
    <w:p w14:paraId="4FF7D0F2">
      <w:pPr>
        <w:keepNext w:val="0"/>
        <w:keepLines w:val="0"/>
        <w:pageBreakBefore w:val="0"/>
        <w:widowControl/>
        <w:kinsoku/>
        <w:wordWrap/>
        <w:overflowPunct/>
        <w:topLinePunct w:val="0"/>
        <w:autoSpaceDE/>
        <w:autoSpaceDN/>
        <w:bidi w:val="0"/>
        <w:adjustRightInd/>
        <w:snapToGrid/>
        <w:spacing w:after="0" w:line="360" w:lineRule="auto"/>
        <w:ind w:firstLine="560"/>
        <w:textAlignment w:val="auto"/>
        <w:rPr>
          <w:rFonts w:ascii="宋体" w:eastAsia="宋体" w:hAnsi="宋体" w:cs="宋体" w:hint="eastAsia"/>
          <w:b/>
          <w:sz w:val="21"/>
          <w:szCs w:val="21"/>
        </w:rPr>
      </w:pPr>
    </w:p>
    <w:p w14:paraId="3F9FDFB4">
      <w:pPr>
        <w:keepNext w:val="0"/>
        <w:keepLines w:val="0"/>
        <w:pageBreakBefore w:val="0"/>
        <w:widowControl/>
        <w:kinsoku/>
        <w:wordWrap/>
        <w:overflowPunct/>
        <w:topLinePunct w:val="0"/>
        <w:autoSpaceDE/>
        <w:autoSpaceDN/>
        <w:bidi w:val="0"/>
        <w:adjustRightInd/>
        <w:snapToGrid/>
        <w:spacing w:after="0" w:line="360" w:lineRule="auto"/>
        <w:ind w:firstLine="560"/>
        <w:textAlignment w:val="auto"/>
        <w:rPr>
          <w:rFonts w:ascii="宋体" w:eastAsia="宋体" w:hAnsi="宋体" w:cs="宋体" w:hint="eastAsia"/>
          <w:sz w:val="21"/>
          <w:szCs w:val="21"/>
        </w:rPr>
      </w:pPr>
      <w:r>
        <w:rPr>
          <w:rFonts w:ascii="宋体" w:eastAsia="宋体" w:hAnsi="宋体" w:cs="宋体" w:hint="eastAsia"/>
          <w:b/>
          <w:sz w:val="21"/>
          <w:szCs w:val="21"/>
        </w:rPr>
        <w:t>（一）青年会计人才在综合监督体系中的定位</w:t>
      </w:r>
    </w:p>
    <w:p w14:paraId="19382D1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体系能否落实，并不是依靠制度、平台决定的，而是依靠关键节点处人才的作用发挥。资金流在生产运营的各个环节中流动，财务数据成为各种监督通用的语言，会计人员处在业务流、资金流、信息流交汇处，是财务监督的专业尖兵，可以把控资金，也可以成为数据语言的翻译官，把账面上的信息转化成监督线索，还可以成为各部门之间协同工作的联络员，使各部门监督工作互相配合。同时也要看到，青年干部监督实践经验欠缺，跨领域知识体系不完整，数据工具应用能力参差不齐。青年会计人才是监督对象又是监督的生力军，综合监督体系真正发挥作用要使青年个人成长同建设体系相结合。</w:t>
      </w:r>
    </w:p>
    <w:p w14:paraId="6B65AF17">
      <w:pPr>
        <w:keepNext w:val="0"/>
        <w:keepLines w:val="0"/>
        <w:pageBreakBefore w:val="0"/>
        <w:widowControl/>
        <w:kinsoku/>
        <w:wordWrap/>
        <w:overflowPunct/>
        <w:topLinePunct w:val="0"/>
        <w:autoSpaceDE/>
        <w:autoSpaceDN/>
        <w:bidi w:val="0"/>
        <w:adjustRightInd/>
        <w:snapToGrid/>
        <w:spacing w:after="0" w:line="360" w:lineRule="auto"/>
        <w:ind w:firstLine="560"/>
        <w:textAlignment w:val="auto"/>
        <w:rPr>
          <w:rFonts w:ascii="宋体" w:eastAsia="宋体" w:hAnsi="宋体" w:cs="宋体" w:hint="eastAsia"/>
          <w:sz w:val="21"/>
          <w:szCs w:val="21"/>
        </w:rPr>
      </w:pPr>
      <w:r>
        <w:rPr>
          <w:rFonts w:ascii="宋体" w:eastAsia="宋体" w:hAnsi="宋体" w:cs="宋体" w:hint="eastAsia"/>
          <w:b/>
          <w:sz w:val="21"/>
          <w:szCs w:val="21"/>
        </w:rPr>
        <w:t>（二）推动落地见效的具体建议</w:t>
      </w:r>
    </w:p>
    <w:p w14:paraId="3F3BEAB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青年在综合监督体系中要有岗位、有平台、有通道的前提是必须的。在省公司财务部设置财务BP岗位，从营销、物流、采购、烟叶四个条线抽调青年骨干派驻到各个条线，实行一年一换岗，对采购、技改、终端建设等投入做全生命周期的测算，每月发布异常清单，从事后核算变为事中参与。给每个业务系统设置一名青年数字化管理员来完成指标口径检查、数据质量检查和取数支持的工作。在监督与业务部门之间实行互派轮岗，新员工的第一站是业务现场。做好青年创新工作室建设工作，分别成立数据建模组、业财融合组、案例复盘组，用揭榜挂帅方式每年发布课题，货源投放异常识别、收购资金穿透、供应商关联图谱等。每年选择重点项目由青年来承担预算绩效后评价任务，结果同预算安排、供应商评价挂钩，物流设备投运效率未达到预期的事前测算和事后评价，可避免此类问题再次出现。</w:t>
      </w:r>
    </w:p>
    <w:p w14:paraId="762C7DD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济南市局（公司）实践证明青年对监督体系有重要的作用。该局向39名年轻干部、新提拔的干部送廉政书籍《给年轻干部提个醒》，对机关重要岗位谈话33人，年轻干部形成问题清单30个，查摆问题53个，制定整改措施146条，重点领域、关键岗位青年干部制定风险防控措施132项，将青年纳入到综合监督日常培养当中。</w:t>
      </w:r>
    </w:p>
    <w:p w14:paraId="09067217">
      <w:pPr>
        <w:keepNext w:val="0"/>
        <w:keepLines w:val="0"/>
        <w:pageBreakBefore w:val="0"/>
        <w:widowControl/>
        <w:kinsoku/>
        <w:wordWrap/>
        <w:overflowPunct/>
        <w:topLinePunct w:val="0"/>
        <w:autoSpaceDE/>
        <w:autoSpaceDN/>
        <w:bidi w:val="0"/>
        <w:adjustRightInd/>
        <w:snapToGrid/>
        <w:spacing w:after="0" w:line="360" w:lineRule="auto"/>
        <w:ind w:firstLine="560"/>
        <w:textAlignment w:val="auto"/>
        <w:rPr>
          <w:rFonts w:ascii="宋体" w:eastAsia="宋体" w:hAnsi="宋体" w:cs="宋体" w:hint="eastAsia"/>
          <w:sz w:val="21"/>
          <w:szCs w:val="21"/>
        </w:rPr>
      </w:pPr>
      <w:r>
        <w:rPr>
          <w:rFonts w:ascii="宋体" w:eastAsia="宋体" w:hAnsi="宋体" w:cs="宋体" w:hint="eastAsia"/>
          <w:b/>
          <w:sz w:val="21"/>
          <w:szCs w:val="21"/>
        </w:rPr>
        <w:t>（三）提升四项能力的具体路径</w:t>
      </w:r>
    </w:p>
    <w:p w14:paraId="35251C3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青年干部只有经过跟班实训才能了解业务流程，围绕烟叶收购、卷烟营销、物流配送、专卖执法、工程建设、物资采购、资产处置等重要环节开展调研工作，参与重大项目立项到结算的全部工作，绘制业务流程风险图。绵阳卷烟厂创建横向五线并行、纵向四级贯通的十字形矩阵，黄山烟草借助一体化平台对资金支付异常、采购合同履行失误、预算执行出现偏移实施实时扫描，财务数据只有同业务实际相结合才能成为有效的风险预警系统。</w:t>
      </w:r>
    </w:p>
    <w:p w14:paraId="5861D30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青年干部应该从简单的数字搜集、报表汇总向数据对比、异常线索挖掘转变，依靠财务共享、资金监管等平台，在资金拨付、发票报销、烟叶收购、卷烟营销等重点场景下开展筛查工作</w:t>
      </w:r>
      <w:r>
        <w:rPr>
          <w:rFonts w:ascii="宋体" w:eastAsia="宋体" w:hAnsi="宋体" w:cs="宋体" w:hint="eastAsia"/>
          <w:b w:val="0"/>
          <w:sz w:val="21"/>
          <w:szCs w:val="21"/>
          <w:lang w:eastAsia="zh-CN"/>
        </w:rPr>
        <w:t>。安</w:t>
      </w:r>
      <w:r>
        <w:rPr>
          <w:rFonts w:ascii="宋体" w:eastAsia="宋体" w:hAnsi="宋体" w:cs="宋体" w:hint="eastAsia"/>
          <w:b w:val="0"/>
          <w:sz w:val="21"/>
          <w:szCs w:val="21"/>
        </w:rPr>
        <w:t>徽“数鉴</w:t>
      </w:r>
      <w:r>
        <w:rPr>
          <w:rFonts w:ascii="宋体" w:eastAsia="宋体" w:hAnsi="宋体" w:cs="宋体" w:hint="eastAsia"/>
          <w:b w:val="0"/>
          <w:sz w:val="21"/>
          <w:szCs w:val="21"/>
          <w:lang w:eastAsia="zh-CN"/>
        </w:rPr>
        <w:t>清</w:t>
      </w:r>
      <w:r>
        <w:rPr>
          <w:rFonts w:ascii="宋体" w:eastAsia="宋体" w:hAnsi="宋体" w:cs="宋体" w:hint="eastAsia"/>
          <w:b w:val="0"/>
          <w:sz w:val="21"/>
          <w:szCs w:val="21"/>
        </w:rPr>
        <w:t>风”平台把制度规范转化成风险识别规则模型，具有数据预警、线索研判、线下核查、整改纠偏闭环的机制；广西烟草用规则引擎加阈值雷达扫描资金滞留、税负变动、资产运转自动化，完成了由人防到技防的转变。青年干部发现每一个监督关注点的时候，就会追问这个规则能否用数学方法来处理，这就是数据分析能力产生的踏实途径。</w:t>
      </w:r>
    </w:p>
    <w:p w14:paraId="7F554BB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数据分析回答的是哪里不一样，风险研判回答的是这代表着什么，值得优先处置吗，是孤立的还是普遍存在的征兆。青年干部要对制度做出风险等级的评判，找到风险传导的链条，并加以区分出一般性的管理问题和重大的风险线索。济南市局（公司）建立市县站三级“</w:t>
      </w:r>
      <w:r>
        <w:rPr>
          <w:rFonts w:ascii="宋体" w:eastAsia="宋体" w:hAnsi="宋体" w:cs="宋体" w:hint="eastAsia"/>
          <w:b w:val="0"/>
          <w:sz w:val="21"/>
          <w:szCs w:val="21"/>
          <w:lang w:eastAsia="zh-CN"/>
        </w:rPr>
        <w:t>3+</w:t>
      </w:r>
      <w:r>
        <w:rPr>
          <w:rFonts w:ascii="宋体" w:eastAsia="宋体" w:hAnsi="宋体" w:cs="宋体" w:hint="eastAsia"/>
          <w:b w:val="0"/>
          <w:sz w:val="21"/>
          <w:szCs w:val="21"/>
        </w:rPr>
        <w:t>1”廉</w:t>
      </w:r>
      <w:r>
        <w:rPr>
          <w:rFonts w:ascii="宋体" w:eastAsia="宋体" w:hAnsi="宋体" w:cs="宋体" w:hint="eastAsia"/>
          <w:b w:val="0"/>
          <w:sz w:val="21"/>
          <w:szCs w:val="21"/>
          <w:lang w:eastAsia="zh-CN"/>
        </w:rPr>
        <w:t>洁</w:t>
      </w:r>
      <w:r>
        <w:rPr>
          <w:rFonts w:ascii="宋体" w:eastAsia="宋体" w:hAnsi="宋体" w:cs="宋体" w:hint="eastAsia"/>
          <w:b w:val="0"/>
          <w:sz w:val="21"/>
          <w:szCs w:val="21"/>
        </w:rPr>
        <w:t>风险防控清单，对廉洁风险点进行排查，共找出廉洁风险点1809个，给青年研判提供清单化的抓手，通过风险情景模拟、问题复盘会提高研判准确率。</w:t>
      </w:r>
    </w:p>
    <w:p w14:paraId="18D4494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综合监督体系之关键在于统，青年干部要经由联合监督、轮岗换位了解别人的视角，共享线索，共同改进。山东中烟把巡察政治体检、审计经济体检、规范业务体检三者结合开展，浙江以联席会议的形式确定联合监督检查计划及牵头部门，湖北宜都烟草采用跨部门轮岗的模式来实现岗位的互换。青年干部要会把财务语言转换成对方条线的决策语言，纪检说明数据指向的是哪个环节的权力行使出现了问题，业务说明监督要求怎样以最少量的流程调整落实。</w:t>
      </w:r>
    </w:p>
    <w:p w14:paraId="040AF02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为了使四项能力的提高真正得以实现，必须有相应的配套机制。实行双导师制，业务导师教业务实质，监督导师教方法规矩，制定容错清单，对模型试错、研判失误、线索初核未果等情形作出免责规定，为青年敢于查处、敢于上报创造条件，打通成果认定通道，把重大风险线索、模型被采纳、建议转化为制度、推动整改避免损失这四类成果同职级晋升、职称评审相衔接，创建列席与建言渠道，监督工作委员会会议设有青年列席席位。可以解决青年愿不愿意、敢不敢、能不能的问题。</w:t>
      </w:r>
    </w:p>
    <w:p w14:paraId="0AB4E3B1">
      <w:pPr>
        <w:keepNext w:val="0"/>
        <w:keepLines w:val="0"/>
        <w:pageBreakBefore w:val="0"/>
        <w:widowControl/>
        <w:kinsoku/>
        <w:wordWrap/>
        <w:overflowPunct/>
        <w:topLinePunct w:val="0"/>
        <w:autoSpaceDE/>
        <w:autoSpaceDN/>
        <w:bidi w:val="0"/>
        <w:adjustRightInd/>
        <w:snapToGrid/>
        <w:spacing w:after="0" w:line="360" w:lineRule="auto"/>
        <w:textAlignment w:val="auto"/>
        <w:rPr>
          <w:rFonts w:ascii="宋体" w:eastAsia="宋体" w:hAnsi="宋体" w:cs="宋体" w:hint="eastAsia"/>
          <w:sz w:val="21"/>
          <w:szCs w:val="21"/>
        </w:rPr>
      </w:pPr>
      <w:r>
        <w:rPr>
          <w:rFonts w:ascii="宋体" w:eastAsia="宋体" w:hAnsi="宋体" w:cs="宋体" w:hint="eastAsia"/>
          <w:b/>
          <w:sz w:val="21"/>
          <w:szCs w:val="21"/>
        </w:rPr>
        <w:t>四、结语</w:t>
      </w:r>
    </w:p>
    <w:p w14:paraId="0B4B0DD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eastAsia="宋体" w:hAnsi="宋体" w:cs="宋体" w:hint="eastAsia"/>
          <w:sz w:val="21"/>
          <w:szCs w:val="21"/>
        </w:rPr>
      </w:pPr>
      <w:r>
        <w:rPr>
          <w:rFonts w:ascii="宋体" w:eastAsia="宋体" w:hAnsi="宋体" w:cs="宋体" w:hint="eastAsia"/>
          <w:b w:val="0"/>
          <w:sz w:val="21"/>
          <w:szCs w:val="21"/>
        </w:rPr>
        <w:t>综合监督管理体系的形成是根据穿透式监管要求烟草企业进行规范治理的必然选择。以济</w:t>
      </w:r>
      <w:r>
        <w:rPr>
          <w:rFonts w:ascii="宋体" w:eastAsia="宋体" w:hAnsi="宋体" w:cs="宋体" w:hint="eastAsia"/>
          <w:b w:val="0"/>
          <w:sz w:val="21"/>
          <w:szCs w:val="21"/>
          <w:lang w:eastAsia="zh-CN"/>
        </w:rPr>
        <w:t>南</w:t>
      </w:r>
      <w:r>
        <w:rPr>
          <w:rFonts w:ascii="宋体" w:eastAsia="宋体" w:hAnsi="宋体" w:cs="宋体" w:hint="eastAsia"/>
          <w:b w:val="0"/>
          <w:sz w:val="21"/>
          <w:szCs w:val="21"/>
        </w:rPr>
        <w:t>大监督</w:t>
      </w:r>
      <w:r>
        <w:rPr>
          <w:rFonts w:ascii="宋体" w:eastAsia="宋体" w:hAnsi="宋体" w:cs="宋体" w:hint="eastAsia"/>
          <w:b w:val="0"/>
          <w:sz w:val="21"/>
          <w:szCs w:val="21"/>
          <w:lang w:eastAsia="zh-CN"/>
        </w:rPr>
        <w:t>为</w:t>
      </w:r>
      <w:r>
        <w:rPr>
          <w:rFonts w:ascii="宋体" w:eastAsia="宋体" w:hAnsi="宋体" w:cs="宋体" w:hint="eastAsia"/>
          <w:b w:val="0"/>
          <w:sz w:val="21"/>
          <w:szCs w:val="21"/>
        </w:rPr>
        <w:t>模板的行业框架设计、职责边界和协同机制，给各地市烟草工作带来一定的借鉴意义，也给烟草公司落地工作提供了更多的实施方式。体系是</w:t>
      </w:r>
      <w:bookmarkStart w:id="0" w:name="_GoBack"/>
      <w:bookmarkEnd w:id="0"/>
      <w:r>
        <w:rPr>
          <w:rFonts w:ascii="宋体" w:eastAsia="宋体" w:hAnsi="宋体" w:cs="宋体" w:hint="eastAsia"/>
          <w:b w:val="0"/>
          <w:sz w:val="21"/>
          <w:szCs w:val="21"/>
        </w:rPr>
        <w:t>否有效，最后要看人，更主要是青年会计人员这支生力军。让青年到监督一线去接受锻炼，把四项能力放到具体的监督场景里打磨，综合监督体系才能由制度变成治理。</w:t>
      </w:r>
    </w:p>
    <w:sectPr>
      <w:pgSz w:w="11906" w:h="16838"/>
      <w:pgMar w:top="1417" w:right="1417" w:bottom="1417" w:left="1417" w:header="720" w:footer="720" w:gutter="0"/>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仓耳渔阳体 W03"/>
    <w:panose1 w:val="00000000000000000000"/>
    <w:charset w:val="80"/>
    <w:family w:val="roman"/>
    <w:pitch w:val="default"/>
    <w:sig w:usb0="00000000" w:usb1="00000000" w:usb2="00000010" w:usb3="00000000" w:csb0="00060001" w:csb1="00000000"/>
  </w:font>
  <w:font w:name="仓耳渔阳体 W03">
    <w:panose1 w:val="02020400000000000000"/>
    <w:charset w:val="80"/>
    <w:family w:val="auto"/>
    <w:pitch w:val="default"/>
    <w:sig w:usb0="80000023" w:usb1="08C10458" w:usb2="00000012" w:usb3="00000000" w:csb0="0002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 w:val="1D976D6B"/>
    <w:rsid w:val="3CC9029A"/>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semiHidden="0" w:qFormat="1"/>
    <w:lsdException w:name="toa heading"/>
    <w:lsdException w:name="List" w:semiHidden="0" w:qFormat="1"/>
    <w:lsdException w:name="List Bullet" w:semiHidden="0" w:qFormat="1"/>
    <w:lsdException w:name="List Number" w:semiHidden="0" w:qFormat="1"/>
    <w:lsdException w:name="List 2" w:semiHidden="0" w:qFormat="1"/>
    <w:lsdException w:name="List 3" w:semiHidden="0" w:qFormat="1"/>
    <w:lsdException w:name="List 4"/>
    <w:lsdException w:name="List 5"/>
    <w:lsdException w:name="List Bullet 2" w:semiHidden="0" w:qFormat="1"/>
    <w:lsdException w:name="List Bullet 3" w:semiHidden="0" w:qFormat="1"/>
    <w:lsdException w:name="List Bullet 4"/>
    <w:lsdException w:name="List Bullet 5"/>
    <w:lsdException w:name="List Number 2" w:semiHidden="0" w:qFormat="1"/>
    <w:lsdException w:name="List Number 3" w:semiHidden="0" w:qFormat="1"/>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semiHidden="0"/>
    <w:lsdException w:name="Body Text Indent"/>
    <w:lsdException w:name="List Continue" w:semiHidden="0" w:qFormat="1"/>
    <w:lsdException w:name="List Continue 2" w:semiHidden="0" w:qFormat="1"/>
    <w:lsdException w:name="List Continue 3" w:semiHidden="0" w:qFormat="1"/>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semiHidden="0" w:qFormat="1"/>
    <w:lsdException w:name="Body Text 3" w:semiHidden="0" w:qFormat="1"/>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qFormat="1"/>
    <w:lsdException w:name="Table Theme"/>
    <w:lsdException w:name="No Spacing" w:semiHidden="0" w:uiPriority="1" w:unhideWhenUsed="0" w:qFormat="1"/>
    <w:lsdException w:name="Light Shading" w:semiHidden="0" w:uiPriority="60" w:unhideWhenUsed="0" w:qFormat="1"/>
    <w:lsdException w:name="Light List" w:semiHidden="0" w:uiPriority="61" w:unhideWhenUsed="0" w:qFormat="1"/>
    <w:lsdException w:name="Light Grid" w:semiHidden="0" w:uiPriority="62" w:unhideWhenUsed="0" w:qFormat="1"/>
    <w:lsdException w:name="Medium Shading 1" w:semiHidden="0" w:uiPriority="63" w:unhideWhenUsed="0" w:qFormat="1"/>
    <w:lsdException w:name="Medium Shading 2" w:semiHidden="0" w:uiPriority="64" w:unhideWhenUsed="0" w:qFormat="1"/>
    <w:lsdException w:name="Medium List 1" w:semiHidden="0" w:uiPriority="65" w:unhideWhenUsed="0" w:qFormat="1"/>
    <w:lsdException w:name="Medium List 2" w:semiHidden="0" w:uiPriority="66" w:unhideWhenUsed="0" w:qFormat="1"/>
    <w:lsdException w:name="Medium Grid 1" w:semiHidden="0" w:uiPriority="67" w:unhideWhenUsed="0" w:qFormat="1"/>
    <w:lsdException w:name="Medium Grid 2" w:semiHidden="0" w:uiPriority="68" w:unhideWhenUsed="0" w:qFormat="1"/>
    <w:lsdException w:name="Medium Grid 3" w:semiHidden="0" w:uiPriority="69" w:unhideWhenUsed="0" w:qFormat="1"/>
    <w:lsdException w:name="Dark List" w:semiHidden="0" w:uiPriority="70" w:unhideWhenUsed="0" w:qFormat="1"/>
    <w:lsdException w:name="Colorful Shading" w:semiHidden="0" w:uiPriority="71" w:unhideWhenUsed="0" w:qFormat="1"/>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qFormat="1"/>
    <w:lsdException w:name="Light Grid Accent 1" w:semiHidden="0" w:uiPriority="62" w:unhideWhenUsed="0" w:qFormat="1"/>
    <w:lsdException w:name="Medium Shading 1 Accent 1" w:semiHidden="0" w:uiPriority="63" w:unhideWhenUsed="0" w:qFormat="1"/>
    <w:lsdException w:name="Medium Shading 2 Accent 1" w:semiHidden="0" w:uiPriority="64" w:unhideWhenUsed="0" w:qFormat="1"/>
    <w:lsdException w:name="Medium List 1 Accent 1" w:semiHidden="0" w:uiPriority="65"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qFormat="1"/>
    <w:lsdException w:name="Medium Grid 2 Accent 1" w:semiHidden="0" w:uiPriority="68" w:unhideWhenUsed="0" w:qFormat="1"/>
    <w:lsdException w:name="Medium Grid 3 Accent 1" w:semiHidden="0" w:uiPriority="69" w:unhideWhenUsed="0" w:qFormat="1"/>
    <w:lsdException w:name="Dark List Accent 1" w:semiHidden="0" w:uiPriority="70" w:unhideWhenUsed="0" w:qFormat="1"/>
    <w:lsdException w:name="Colorful Shading Accent 1" w:semiHidden="0" w:uiPriority="71" w:unhideWhenUsed="0" w:qFormat="1"/>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qFormat="1"/>
    <w:lsdException w:name="Light Grid Accent 2" w:semiHidden="0" w:uiPriority="62" w:unhideWhenUsed="0" w:qFormat="1"/>
    <w:lsdException w:name="Medium Shading 1 Accent 2" w:semiHidden="0" w:uiPriority="63" w:unhideWhenUsed="0" w:qFormat="1"/>
    <w:lsdException w:name="Medium Shading 2 Accent 2" w:semiHidden="0" w:uiPriority="64" w:unhideWhenUsed="0" w:qFormat="1"/>
    <w:lsdException w:name="Medium List 1 Accent 2" w:semiHidden="0" w:uiPriority="65" w:unhideWhenUsed="0" w:qFormat="1"/>
    <w:lsdException w:name="Medium List 2 Accent 2" w:semiHidden="0" w:uiPriority="66" w:unhideWhenUsed="0" w:qFormat="1"/>
    <w:lsdException w:name="Medium Grid 1 Accent 2" w:semiHidden="0" w:uiPriority="67" w:unhideWhenUsed="0" w:qFormat="1"/>
    <w:lsdException w:name="Medium Grid 2 Accent 2" w:semiHidden="0" w:uiPriority="68" w:unhideWhenUsed="0" w:qFormat="1"/>
    <w:lsdException w:name="Medium Grid 3 Accent 2" w:semiHidden="0" w:uiPriority="69" w:unhideWhenUsed="0" w:qFormat="1"/>
    <w:lsdException w:name="Dark List Accent 2" w:semiHidden="0" w:uiPriority="70" w:unhideWhenUsed="0" w:qFormat="1"/>
    <w:lsdException w:name="Colorful Shading Accent 2" w:semiHidden="0" w:uiPriority="71" w:unhideWhenUsed="0" w:qFormat="1"/>
    <w:lsdException w:name="Colorful List Accent 2" w:semiHidden="0" w:uiPriority="72" w:unhideWhenUsed="0" w:qFormat="1"/>
    <w:lsdException w:name="Colorful Grid Accent 2" w:semiHidden="0" w:uiPriority="73" w:unhideWhenUsed="0" w:qFormat="1"/>
    <w:lsdException w:name="Light Shading Accent 3" w:semiHidden="0" w:uiPriority="60" w:unhideWhenUsed="0" w:qFormat="1"/>
    <w:lsdException w:name="Light List Accent 3" w:semiHidden="0" w:uiPriority="61" w:unhideWhenUsed="0" w:qFormat="1"/>
    <w:lsdException w:name="Light Grid Accent 3" w:semiHidden="0" w:uiPriority="62" w:unhideWhenUsed="0" w:qFormat="1"/>
    <w:lsdException w:name="Medium Shading 1 Accent 3" w:semiHidden="0" w:uiPriority="63" w:unhideWhenUsed="0" w:qFormat="1"/>
    <w:lsdException w:name="Medium Shading 2 Accent 3" w:semiHidden="0" w:uiPriority="64" w:unhideWhenUsed="0" w:qFormat="1"/>
    <w:lsdException w:name="Medium List 1 Accent 3" w:semiHidden="0" w:uiPriority="65" w:unhideWhenUsed="0" w:qFormat="1"/>
    <w:lsdException w:name="Medium List 2 Accent 3" w:semiHidden="0" w:uiPriority="66" w:unhideWhenUsed="0" w:qFormat="1"/>
    <w:lsdException w:name="Medium Grid 1 Accent 3" w:semiHidden="0" w:uiPriority="67" w:unhideWhenUsed="0" w:qFormat="1"/>
    <w:lsdException w:name="Medium Grid 2 Accent 3" w:semiHidden="0" w:uiPriority="68" w:unhideWhenUsed="0" w:qFormat="1"/>
    <w:lsdException w:name="Medium Grid 3 Accent 3" w:semiHidden="0" w:uiPriority="69" w:unhideWhenUsed="0" w:qFormat="1"/>
    <w:lsdException w:name="Dark List Accent 3" w:semiHidden="0" w:uiPriority="70" w:unhideWhenUsed="0" w:qFormat="1"/>
    <w:lsdException w:name="Colorful Shading Accent 3" w:semiHidden="0" w:uiPriority="71" w:unhideWhenUsed="0" w:qFormat="1"/>
    <w:lsdException w:name="Colorful List Accent 3" w:semiHidden="0" w:uiPriority="72" w:unhideWhenUsed="0" w:qFormat="1"/>
    <w:lsdException w:name="Colorful Grid Accent 3" w:semiHidden="0" w:uiPriority="73" w:unhideWhenUsed="0" w:qFormat="1"/>
    <w:lsdException w:name="Light Shading Accent 4" w:semiHidden="0" w:uiPriority="60" w:unhideWhenUsed="0" w:qFormat="1"/>
    <w:lsdException w:name="Light List Accent 4" w:semiHidden="0" w:uiPriority="61" w:unhideWhenUsed="0" w:qFormat="1"/>
    <w:lsdException w:name="Light Grid Accent 4" w:semiHidden="0" w:uiPriority="62" w:unhideWhenUsed="0" w:qFormat="1"/>
    <w:lsdException w:name="Medium Shading 1 Accent 4" w:semiHidden="0" w:uiPriority="63" w:unhideWhenUsed="0" w:qFormat="1"/>
    <w:lsdException w:name="Medium Shading 2 Accent 4" w:semiHidden="0" w:uiPriority="64" w:unhideWhenUsed="0" w:qFormat="1"/>
    <w:lsdException w:name="Medium List 1 Accent 4" w:semiHidden="0" w:uiPriority="65" w:unhideWhenUsed="0" w:qFormat="1"/>
    <w:lsdException w:name="Medium List 2 Accent 4" w:semiHidden="0" w:uiPriority="66" w:unhideWhenUsed="0" w:qFormat="1"/>
    <w:lsdException w:name="Medium Grid 1 Accent 4" w:semiHidden="0" w:uiPriority="67" w:unhideWhenUsed="0" w:qFormat="1"/>
    <w:lsdException w:name="Medium Grid 2 Accent 4" w:semiHidden="0" w:uiPriority="68" w:unhideWhenUsed="0" w:qFormat="1"/>
    <w:lsdException w:name="Medium Grid 3 Accent 4" w:semiHidden="0" w:uiPriority="69" w:unhideWhenUsed="0" w:qFormat="1"/>
    <w:lsdException w:name="Dark List Accent 4" w:semiHidden="0" w:uiPriority="70" w:unhideWhenUsed="0" w:qFormat="1"/>
    <w:lsdException w:name="Colorful Shading Accent 4" w:semiHidden="0" w:uiPriority="71" w:unhideWhenUsed="0" w:qFormat="1"/>
    <w:lsdException w:name="Colorful List Accent 4" w:semiHidden="0" w:uiPriority="72" w:unhideWhenUsed="0" w:qFormat="1"/>
    <w:lsdException w:name="Colorful Grid Accent 4" w:semiHidden="0" w:uiPriority="73" w:unhideWhenUsed="0" w:qFormat="1"/>
    <w:lsdException w:name="Light Shading Accent 5" w:semiHidden="0" w:uiPriority="60" w:unhideWhenUsed="0" w:qFormat="1"/>
    <w:lsdException w:name="Light List Accent 5" w:semiHidden="0" w:uiPriority="61" w:unhideWhenUsed="0" w:qFormat="1"/>
    <w:lsdException w:name="Light Grid Accent 5" w:semiHidden="0" w:uiPriority="62" w:unhideWhenUsed="0" w:qFormat="1"/>
    <w:lsdException w:name="Medium Shading 1 Accent 5" w:semiHidden="0" w:uiPriority="63" w:unhideWhenUsed="0" w:qFormat="1"/>
    <w:lsdException w:name="Medium Shading 2 Accent 5" w:semiHidden="0" w:uiPriority="64" w:unhideWhenUsed="0" w:qFormat="1"/>
    <w:lsdException w:name="Medium List 1 Accent 5" w:semiHidden="0" w:uiPriority="65" w:unhideWhenUsed="0" w:qFormat="1"/>
    <w:lsdException w:name="Medium List 2 Accent 5" w:semiHidden="0" w:uiPriority="66" w:unhideWhenUsed="0"/>
    <w:lsdException w:name="Medium Grid 1 Accent 5" w:semiHidden="0" w:uiPriority="67" w:unhideWhenUsed="0"/>
    <w:lsdException w:name="Medium Grid 2 Accent 5" w:semiHidden="0" w:uiPriority="68" w:unhideWhenUsed="0" w:qFormat="1"/>
    <w:lsdException w:name="Medium Grid 3 Accent 5" w:semiHidden="0" w:uiPriority="69" w:unhideWhenUsed="0" w:qFormat="1"/>
    <w:lsdException w:name="Dark List Accent 5" w:semiHidden="0" w:uiPriority="70" w:unhideWhenUsed="0" w:qFormat="1"/>
    <w:lsdException w:name="Colorful Shading Accent 5" w:semiHidden="0" w:uiPriority="71" w:unhideWhenUsed="0" w:qFormat="1"/>
    <w:lsdException w:name="Colorful List Accent 5" w:semiHidden="0" w:uiPriority="72" w:unhideWhenUsed="0" w:qFormat="1"/>
    <w:lsdException w:name="Colorful Grid Accent 5" w:semiHidden="0" w:uiPriority="73" w:unhideWhenUsed="0" w:qFormat="1"/>
    <w:lsdException w:name="Light Shading Accent 6" w:semiHidden="0" w:uiPriority="60" w:unhideWhenUsed="0" w:qFormat="1"/>
    <w:lsdException w:name="Light List Accent 6" w:semiHidden="0" w:uiPriority="61" w:unhideWhenUsed="0" w:qFormat="1"/>
    <w:lsdException w:name="Light Grid Accent 6" w:semiHidden="0" w:uiPriority="62" w:unhideWhenUsed="0" w:qFormat="1"/>
    <w:lsdException w:name="Medium Shading 1 Accent 6" w:semiHidden="0" w:uiPriority="63" w:unhideWhenUsed="0" w:qFormat="1"/>
    <w:lsdException w:name="Medium Shading 2 Accent 6" w:semiHidden="0" w:uiPriority="64" w:unhideWhenUsed="0" w:qFormat="1"/>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qFormat="1"/>
    <w:lsdException w:name="Colorful Shading Accent 6" w:semiHidden="0" w:uiPriority="71" w:unhideWhenUsed="0" w:qFormat="1"/>
    <w:lsdException w:name="Colorful List Accent 6" w:semiHidden="0" w:uiPriority="72" w:unhideWhenUsed="0" w:qFormat="1"/>
    <w:lsdException w:name="Colorful Grid Accent 6" w:semiHidden="0" w:uiPriority="73" w:unhideWhenUsed="0" w:qFormat="1"/>
  </w:latentStyles>
  <w:style w:type="paragraph" w:default="1" w:styleId="Normal">
    <w:name w:val="Normal"/>
    <w:qFormat/>
    <w:pPr>
      <w:spacing w:after="200" w:line="276" w:lineRule="auto"/>
    </w:pPr>
    <w:rPr>
      <w:rFonts w:asciiTheme="minorHAnsi" w:eastAsiaTheme="minorEastAsia" w:hAnsiTheme="minorHAnsi" w:cstheme="minorBidi"/>
      <w:sz w:val="22"/>
      <w:szCs w:val="22"/>
      <w:lang w:val="en-US" w:eastAsia="en-US" w:bidi="ar-SA"/>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76092"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14:textFill>
        <w14:solidFill>
          <w14:schemeClr w14:val="accent1"/>
        </w14:solidFill>
      </w14:textFill>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14:textFill>
        <w14:solidFill>
          <w14:schemeClr w14:val="accent1"/>
        </w14:solidFill>
      </w14:textFill>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14:textFill>
        <w14:solidFill>
          <w14:schemeClr w14:val="accent1"/>
        </w14:solidFill>
      </w14:textFill>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5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5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14:textFill>
        <w14:solidFill>
          <w14:schemeClr w14:val="tx1">
            <w14:lumMod w14:val="75000"/>
            <w14:lumOff w14:val="25000"/>
          </w14:schemeClr>
        </w14:solidFill>
      </w14:textFill>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14:textFill>
        <w14:solidFill>
          <w14:schemeClr w14:val="accent1"/>
        </w14:solidFill>
      </w14:textFill>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Macro">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qFormat/>
    <w:pPr>
      <w:numPr>
        <w:ilvl w:val="0"/>
        <w:numId w:val="1"/>
      </w:numPr>
      <w:contextualSpacing/>
    </w:pPr>
  </w:style>
  <w:style w:type="paragraph" w:styleId="ListNumber">
    <w:name w:val="List Number"/>
    <w:basedOn w:val="Normal"/>
    <w:uiPriority w:val="99"/>
    <w:unhideWhenUsed/>
    <w:qFormat/>
    <w:pPr>
      <w:numPr>
        <w:ilvl w:val="0"/>
        <w:numId w:val="2"/>
      </w:numPr>
      <w:contextualSpacing/>
    </w:pPr>
  </w:style>
  <w:style w:type="paragraph" w:styleId="Caption">
    <w:name w:val="caption"/>
    <w:basedOn w:val="Normal"/>
    <w:next w:val="Normal"/>
    <w:uiPriority w:val="35"/>
    <w:semiHidden/>
    <w:unhideWhenUsed/>
    <w:qFormat/>
    <w:pPr>
      <w:spacing w:line="240" w:lineRule="auto"/>
    </w:pPr>
    <w:rPr>
      <w:b/>
      <w:bCs/>
      <w:color w:val="4F81BD" w:themeColor="accent1"/>
      <w:sz w:val="18"/>
      <w:szCs w:val="18"/>
      <w14:textFill>
        <w14:solidFill>
          <w14:schemeClr w14:val="accent1"/>
        </w14:solidFill>
      </w14:textFill>
    </w:rPr>
  </w:style>
  <w:style w:type="paragraph" w:styleId="ListBullet">
    <w:name w:val="List Bullet"/>
    <w:basedOn w:val="Normal"/>
    <w:uiPriority w:val="99"/>
    <w:unhideWhenUsed/>
    <w:qFormat/>
    <w:pPr>
      <w:numPr>
        <w:ilvl w:val="0"/>
        <w:numId w:val="3"/>
      </w:numPr>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ilvl w:val="0"/>
        <w:numId w:val="4"/>
      </w:numPr>
      <w:contextualSpacing/>
    </w:pPr>
  </w:style>
  <w:style w:type="paragraph" w:styleId="BodyText">
    <w:name w:val="Body Text"/>
    <w:basedOn w:val="Normal"/>
    <w:link w:val="BodyTextChar"/>
    <w:uiPriority w:val="99"/>
    <w:unhideWhenUsed/>
    <w:pPr>
      <w:spacing w:after="120"/>
    </w:pPr>
  </w:style>
  <w:style w:type="paragraph" w:styleId="ListNumber3">
    <w:name w:val="List Number 3"/>
    <w:basedOn w:val="Normal"/>
    <w:uiPriority w:val="99"/>
    <w:unhideWhenUsed/>
    <w:qFormat/>
    <w:pPr>
      <w:numPr>
        <w:ilvl w:val="0"/>
        <w:numId w:val="5"/>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qFormat/>
    <w:pPr>
      <w:numPr>
        <w:ilvl w:val="0"/>
        <w:numId w:val="6"/>
      </w:numPr>
      <w:contextualSpacing/>
    </w:p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14:textFill>
        <w14:solidFill>
          <w14:schemeClr w14:val="accent1"/>
        </w14:solidFill>
      </w14:textFill>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75E" w:themeColor="text2" w:themeShade="BF"/>
      <w:spacing w:val="5"/>
      <w:kern w:val="28"/>
      <w:sz w:val="52"/>
      <w:szCs w:val="52"/>
    </w:rPr>
  </w:style>
  <w:style w:type="table" w:styleId="TableGrid">
    <w:name w:val="Table Grid"/>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qFormat/>
    <w:pPr>
      <w:spacing w:after="0" w:line="240" w:lineRule="auto"/>
    </w:pPr>
    <w:rPr>
      <w:color w:val="000000" w:themeColor="text1" w:themeShade="BF"/>
    </w:rPr>
    <w:tblPr>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LightShadingAccent1">
    <w:name w:val="Light Shading Accent 1"/>
    <w:basedOn w:val="TableNormal"/>
    <w:uiPriority w:val="60"/>
    <w:qFormat/>
    <w:pPr>
      <w:spacing w:after="0" w:line="240" w:lineRule="auto"/>
    </w:pPr>
    <w:rPr>
      <w:color w:val="376092" w:themeColor="accent1" w:themeShade="BF"/>
    </w:rPr>
    <w:tblPr>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pPr>
      <w:spacing w:after="0" w:line="240" w:lineRule="auto"/>
    </w:pPr>
    <w:rPr>
      <w:color w:val="953735" w:themeColor="accent2" w:themeShade="BF"/>
    </w:rPr>
    <w:tblPr>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LightShadingAccent3">
    <w:name w:val="Light Shading Accent 3"/>
    <w:basedOn w:val="TableNormal"/>
    <w:uiPriority w:val="60"/>
    <w:qFormat/>
    <w:pPr>
      <w:spacing w:after="0" w:line="240" w:lineRule="auto"/>
    </w:pPr>
    <w:rPr>
      <w:color w:val="77933C" w:themeColor="accent3" w:themeShade="BF"/>
    </w:rPr>
    <w:tblPr>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pPr>
      <w:spacing w:after="0" w:line="240" w:lineRule="auto"/>
    </w:pPr>
    <w:rPr>
      <w:color w:val="604A7B" w:themeColor="accent4" w:themeShade="BF"/>
    </w:rPr>
    <w:tblPr>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pPr>
      <w:spacing w:after="0" w:line="240" w:lineRule="auto"/>
    </w:pPr>
    <w:rPr>
      <w:color w:val="31859C" w:themeColor="accent5" w:themeShade="BF"/>
    </w:rPr>
    <w:tblPr>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LightShadingAccent6">
    <w:name w:val="Light Shading Accent 6"/>
    <w:basedOn w:val="TableNormal"/>
    <w:uiPriority w:val="60"/>
    <w:qFormat/>
    <w:pPr>
      <w:spacing w:after="0" w:line="240" w:lineRule="auto"/>
    </w:pPr>
    <w:rPr>
      <w:color w:val="E46C0A" w:themeColor="accent6" w:themeShade="BF"/>
    </w:rPr>
    <w:tblPr>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LightList">
    <w:name w:val="Light List"/>
    <w:basedOn w:val="TableNormal"/>
    <w:uiPriority w:val="61"/>
    <w:qFormat/>
    <w:pPr>
      <w:spacing w:after="0" w:line="240" w:lineRule="auto"/>
    </w:p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pPr>
      <w:spacing w:after="0" w:line="240" w:lineRule="auto"/>
    </w:p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pPr>
      <w:spacing w:after="0" w:line="240" w:lineRule="auto"/>
    </w:p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pPr>
      <w:spacing w:after="0" w:line="240" w:lineRule="auto"/>
    </w:p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pPr>
      <w:spacing w:after="0" w:line="240" w:lineRule="auto"/>
    </w:p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pPr>
      <w:spacing w:after="0" w:line="240" w:lineRule="auto"/>
    </w:p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pPr>
      <w:spacing w:after="0" w:line="240" w:lineRule="auto"/>
    </w:p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pPr>
      <w:spacing w:after="0" w:line="240" w:lineRule="auto"/>
    </w:p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BFBFBF"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pPr>
      <w:spacing w:after="0" w:line="240" w:lineRule="auto"/>
    </w:p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pPr>
      <w:spacing w:after="0" w:line="240" w:lineRule="auto"/>
    </w:p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3"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3"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pPr>
      <w:spacing w:after="0" w:line="240" w:lineRule="auto"/>
    </w:p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pPr>
      <w:spacing w:after="0" w:line="240" w:lineRule="auto"/>
    </w:p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pPr>
      <w:spacing w:after="0" w:line="240" w:lineRule="auto"/>
    </w:p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0"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0"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pPr>
      <w:spacing w:after="0" w:line="240" w:lineRule="auto"/>
    </w:p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5D1"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5D1"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pPr>
      <w:spacing w:after="0" w:line="240" w:lineRule="auto"/>
    </w:pPr>
    <w:tblPr>
      <w:tbl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single" w:sz="8" w:space="0" w:color="3F3F3F"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pPr>
      <w:spacing w:after="0" w:line="240" w:lineRule="auto"/>
    </w:p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pPr>
      <w:spacing w:after="0" w:line="240" w:lineRule="auto"/>
    </w:p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pPr>
      <w:spacing w:after="0" w:line="240" w:lineRule="auto"/>
    </w:pPr>
    <w:tblPr>
      <w:tbl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single" w:sz="8" w:space="0" w:color="B4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pPr>
      <w:spacing w:after="0" w:line="240" w:lineRule="auto"/>
    </w:p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pPr>
      <w:spacing w:after="0" w:line="240" w:lineRule="auto"/>
    </w:p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pPr>
      <w:spacing w:after="0" w:line="240" w:lineRule="auto"/>
    </w:p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pPr>
      <w:spacing w:after="0" w:line="240" w:lineRule="auto"/>
    </w:pPr>
    <w:rPr>
      <w:color w:val="000000" w:themeColor="text1"/>
      <w14:textFill>
        <w14:solidFill>
          <w14:schemeClr w14:val="tx1"/>
        </w14:solidFill>
      </w14:textFill>
    </w:rPr>
    <w:tblPr>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14:textFill>
          <w14:solidFill>
            <w14:schemeClr w14:val="tx2"/>
          </w14:solidFill>
        </w14:textFill>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MediumList1Accent1">
    <w:name w:val="Medium List 1 Accent 1"/>
    <w:basedOn w:val="TableNormal"/>
    <w:uiPriority w:val="65"/>
    <w:qFormat/>
    <w:pPr>
      <w:spacing w:after="0" w:line="240" w:lineRule="auto"/>
    </w:pPr>
    <w:rPr>
      <w:color w:val="000000" w:themeColor="text1"/>
      <w14:textFill>
        <w14:solidFill>
          <w14:schemeClr w14:val="tx1"/>
        </w14:solidFill>
      </w14:textFill>
    </w:rPr>
    <w:tblPr>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14:textFill>
          <w14:solidFill>
            <w14:schemeClr w14:val="tx2"/>
          </w14:solidFill>
        </w14:textFill>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pPr>
      <w:spacing w:after="0" w:line="240" w:lineRule="auto"/>
    </w:pPr>
    <w:rPr>
      <w:color w:val="000000" w:themeColor="text1"/>
      <w14:textFill>
        <w14:solidFill>
          <w14:schemeClr w14:val="tx1"/>
        </w14:solidFill>
      </w14:textFill>
    </w:rPr>
    <w:tblPr>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14:textFill>
          <w14:solidFill>
            <w14:schemeClr w14:val="tx2"/>
          </w14:solidFill>
        </w14:textFill>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MediumList1Accent3">
    <w:name w:val="Medium List 1 Accent 3"/>
    <w:basedOn w:val="TableNormal"/>
    <w:uiPriority w:val="65"/>
    <w:qFormat/>
    <w:pPr>
      <w:spacing w:after="0" w:line="240" w:lineRule="auto"/>
    </w:pPr>
    <w:rPr>
      <w:color w:val="000000" w:themeColor="text1"/>
      <w14:textFill>
        <w14:solidFill>
          <w14:schemeClr w14:val="tx1"/>
        </w14:solidFill>
      </w14:textFill>
    </w:rPr>
    <w:tblPr>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14:textFill>
          <w14:solidFill>
            <w14:schemeClr w14:val="tx2"/>
          </w14:solidFill>
        </w14:textFill>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pPr>
      <w:spacing w:after="0" w:line="240" w:lineRule="auto"/>
    </w:pPr>
    <w:rPr>
      <w:color w:val="000000" w:themeColor="text1"/>
      <w14:textFill>
        <w14:solidFill>
          <w14:schemeClr w14:val="tx1"/>
        </w14:solidFill>
      </w14:textFill>
    </w:rPr>
    <w:tblPr>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14:textFill>
          <w14:solidFill>
            <w14:schemeClr w14:val="tx2"/>
          </w14:solidFill>
        </w14:textFill>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pPr>
      <w:spacing w:after="0" w:line="240" w:lineRule="auto"/>
    </w:pPr>
    <w:rPr>
      <w:color w:val="000000" w:themeColor="text1"/>
      <w14:textFill>
        <w14:solidFill>
          <w14:schemeClr w14:val="tx1"/>
        </w14:solidFill>
      </w14:textFill>
    </w:rPr>
    <w:tblPr>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14:textFill>
          <w14:solidFill>
            <w14:schemeClr w14:val="tx2"/>
          </w14:solidFill>
        </w14:textFill>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MediumList1Accent6">
    <w:name w:val="Medium List 1 Accent 6"/>
    <w:basedOn w:val="TableNormal"/>
    <w:uiPriority w:val="65"/>
    <w:qFormat/>
    <w:pPr>
      <w:spacing w:after="0" w:line="240" w:lineRule="auto"/>
    </w:pPr>
    <w:rPr>
      <w:color w:val="000000" w:themeColor="text1"/>
      <w14:textFill>
        <w14:solidFill>
          <w14:schemeClr w14:val="tx1"/>
        </w14:solidFill>
      </w14:textFill>
    </w:rPr>
    <w:tblPr>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14:textFill>
          <w14:solidFill>
            <w14:schemeClr w14:val="tx2"/>
          </w14:solidFill>
        </w14:textFill>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MediumList2">
    <w:name w:val="Medium List 2"/>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pPr>
      <w:spacing w:after="0" w:line="240" w:lineRule="auto"/>
    </w:pPr>
    <w:tblPr>
      <w:tbl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single" w:sz="8" w:space="0" w:color="3F3F3F" w:themeColor="text1" w:themeTint="BF"/>
        <w:insideV w:val="single" w:sz="8" w:space="0" w:color="3F3F3F" w:themeColor="text1" w:themeTint="BF"/>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sz="18" w:space="0" w:color="3F3F3F" w:themeColor="text1" w:themeTint="BF"/>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MediumGrid1Accent1">
    <w:name w:val="Medium Grid 1 Accent 1"/>
    <w:basedOn w:val="TableNormal"/>
    <w:uiPriority w:val="67"/>
    <w:qFormat/>
    <w:pPr>
      <w:spacing w:after="0" w:line="240" w:lineRule="auto"/>
    </w:p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MediumGrid1Accent2">
    <w:name w:val="Medium Grid 1 Accent 2"/>
    <w:basedOn w:val="TableNormal"/>
    <w:uiPriority w:val="67"/>
    <w:qFormat/>
    <w:pPr>
      <w:spacing w:after="0" w:line="240" w:lineRule="auto"/>
    </w:p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pPr>
      <w:spacing w:after="0" w:line="240" w:lineRule="auto"/>
    </w:pPr>
    <w:tblPr>
      <w:tbl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single" w:sz="8" w:space="0" w:color="B4CC82" w:themeColor="accent3" w:themeTint="BF"/>
        <w:insideV w:val="single" w:sz="8" w:space="0" w:color="B4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4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pPr>
      <w:spacing w:after="0" w:line="240" w:lineRule="auto"/>
    </w:p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pPr>
      <w:spacing w:after="0" w:line="240" w:lineRule="auto"/>
    </w:p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color="auto"/>
          <w:insideV w:val="single" w:sz="6" w:space="0" w:color="auto"/>
        </w:tcBorders>
        <w:shd w:val="clear" w:color="auto" w:fill="7F7F7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color="auto"/>
          <w:insideV w:val="single" w:sz="6" w:space="0" w:color="auto"/>
        </w:tcBorders>
        <w:shd w:val="clear" w:color="auto" w:fill="A7C0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F7F7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7F7F7F" w:themeFill="text1" w:themeFillTint="7F"/>
      </w:tcPr>
    </w:tblStylePr>
  </w:style>
  <w:style w:type="table" w:styleId="MediumGrid3Accent1">
    <w:name w:val="Medium Grid 3 Accent 1"/>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C0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C0DE" w:themeFill="accent1" w:themeFillTint="7F"/>
      </w:tcPr>
    </w:tblStylePr>
  </w:style>
  <w:style w:type="table" w:styleId="MediumGrid3Accent2">
    <w:name w:val="Medium Grid 3 Accent 2"/>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60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DarkListAccent2">
    <w:name w:val="Dark List Accent 2"/>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7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DarkListAccent3">
    <w:name w:val="Dark List Accent 3"/>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ColorfulShading">
    <w:name w:val="Colorful Shading"/>
    <w:basedOn w:val="TableNormal"/>
    <w:uiPriority w:val="71"/>
    <w:qFormat/>
    <w:pPr>
      <w:spacing w:after="0" w:line="240" w:lineRule="auto"/>
    </w:pPr>
    <w:rPr>
      <w:color w:val="000000" w:themeColor="text1"/>
      <w14:textFill>
        <w14:solidFill>
          <w14:schemeClr w14:val="tx1"/>
        </w14:solidFill>
      </w14:textFill>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1">
    <w:name w:val="Colorful Shading Accent 1"/>
    <w:basedOn w:val="TableNormal"/>
    <w:uiPriority w:val="71"/>
    <w:qFormat/>
    <w:pPr>
      <w:spacing w:after="0" w:line="240" w:lineRule="auto"/>
    </w:pPr>
    <w:rPr>
      <w:color w:val="000000" w:themeColor="text1"/>
      <w14:textFill>
        <w14:solidFill>
          <w14:schemeClr w14:val="tx1"/>
        </w14:solidFill>
      </w14:textFill>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2">
    <w:name w:val="Colorful Shading Accent 2"/>
    <w:basedOn w:val="TableNormal"/>
    <w:uiPriority w:val="71"/>
    <w:qFormat/>
    <w:pPr>
      <w:spacing w:after="0" w:line="240" w:lineRule="auto"/>
    </w:pPr>
    <w:rPr>
      <w:color w:val="000000" w:themeColor="text1"/>
      <w14:textFill>
        <w14:solidFill>
          <w14:schemeClr w14:val="tx1"/>
        </w14:solidFill>
      </w14:textFill>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3">
    <w:name w:val="Colorful Shading Accent 3"/>
    <w:basedOn w:val="TableNormal"/>
    <w:uiPriority w:val="71"/>
    <w:qFormat/>
    <w:pPr>
      <w:spacing w:after="0" w:line="240" w:lineRule="auto"/>
    </w:pPr>
    <w:rPr>
      <w:color w:val="000000" w:themeColor="text1"/>
      <w14:textFill>
        <w14:solidFill>
          <w14:schemeClr w14:val="tx1"/>
        </w14:solidFill>
      </w14:textFill>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pPr>
      <w:spacing w:after="0" w:line="240" w:lineRule="auto"/>
    </w:pPr>
    <w:rPr>
      <w:color w:val="000000" w:themeColor="text1"/>
      <w14:textFill>
        <w14:solidFill>
          <w14:schemeClr w14:val="tx1"/>
        </w14:solidFill>
      </w14:textFill>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5">
    <w:name w:val="Colorful Shading Accent 5"/>
    <w:basedOn w:val="TableNormal"/>
    <w:uiPriority w:val="71"/>
    <w:qFormat/>
    <w:pPr>
      <w:spacing w:after="0" w:line="240" w:lineRule="auto"/>
    </w:pPr>
    <w:rPr>
      <w:color w:val="000000" w:themeColor="text1"/>
      <w14:textFill>
        <w14:solidFill>
          <w14:schemeClr w14:val="tx1"/>
        </w14:solidFill>
      </w14:textFill>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6">
    <w:name w:val="Colorful Shading Accent 6"/>
    <w:basedOn w:val="TableNormal"/>
    <w:uiPriority w:val="71"/>
    <w:qFormat/>
    <w:pPr>
      <w:spacing w:after="0" w:line="240" w:lineRule="auto"/>
    </w:pPr>
    <w:rPr>
      <w:color w:val="000000" w:themeColor="text1"/>
      <w14:textFill>
        <w14:solidFill>
          <w14:schemeClr w14:val="tx1"/>
        </w14:solidFill>
      </w14:textFill>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List">
    <w:name w:val="Colorful List"/>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9E3A38" w:themeFill="accent2" w:themeFillShade="CC"/>
      </w:tcPr>
    </w:tblStylePr>
    <w:tblStylePr w:type="lastRow">
      <w:rPr>
        <w:b/>
        <w:bCs/>
        <w:color w:val="9F3B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9E3A38" w:themeFill="accent2" w:themeFillShade="CC"/>
      </w:tcPr>
    </w:tblStylePr>
    <w:tblStylePr w:type="lastRow">
      <w:rPr>
        <w:b/>
        <w:bCs/>
        <w:color w:val="9F3B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9E3A38" w:themeFill="accent2" w:themeFillShade="CC"/>
      </w:tcPr>
    </w:tblStylePr>
    <w:tblStylePr w:type="lastRow">
      <w:rPr>
        <w:b/>
        <w:bCs/>
        <w:color w:val="9F3B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664E82" w:themeFill="accent4" w:themeFillShade="CC"/>
      </w:tcPr>
    </w:tblStylePr>
    <w:tblStylePr w:type="lastRow">
      <w:rPr>
        <w:b/>
        <w:bCs/>
        <w:color w:val="664F8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7E9C40" w:themeFill="accent3" w:themeFillShade="CC"/>
      </w:tcPr>
    </w:tblStylePr>
    <w:tblStylePr w:type="lastRow">
      <w:rPr>
        <w:b/>
        <w:bCs/>
        <w:color w:val="7E9D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F3730A" w:themeFill="accent6" w:themeFillShade="CC"/>
      </w:tcPr>
    </w:tblStylePr>
    <w:tblStylePr w:type="lastRow">
      <w:rPr>
        <w:b/>
        <w:bCs/>
        <w:color w:val="F3740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348DA5" w:themeFill="accent5" w:themeFillShade="CC"/>
      </w:tcPr>
    </w:tblStylePr>
    <w:tblStylePr w:type="lastRow">
      <w:rPr>
        <w:b/>
        <w:bCs/>
        <w:color w:val="358EA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ColorfulGridAccent1">
    <w:name w:val="Colorful Grid Accent 1"/>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ColorfulGridAccent2">
    <w:name w:val="Colorful Grid Accent 2"/>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pPr>
      <w:spacing w:after="0" w:line="240" w:lineRule="auto"/>
    </w:pPr>
    <w:rPr>
      <w:rFonts w:asciiTheme="minorHAnsi" w:eastAsiaTheme="minorEastAsia" w:hAnsiTheme="minorHAnsi" w:cstheme="minorBidi"/>
      <w:sz w:val="22"/>
      <w:szCs w:val="22"/>
      <w:lang w:val="en-US" w:eastAsia="en-US" w:bidi="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76092"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14:textFill>
        <w14:solidFill>
          <w14:schemeClr w14:val="accent1"/>
        </w14:solidFill>
      </w14:textFill>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14:textFill>
        <w14:solidFill>
          <w14:schemeClr w14:val="accent1"/>
        </w14:solidFill>
      </w14:textFill>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75E"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14:textFill>
        <w14:solidFill>
          <w14:schemeClr w14:val="accent1"/>
        </w14:solidFill>
      </w14:textFill>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14:textFill>
        <w14:solidFill>
          <w14:schemeClr w14:val="tx1"/>
        </w14:solidFill>
      </w14:textFill>
    </w:rPr>
  </w:style>
  <w:style w:type="character" w:customStyle="1" w:styleId="QuoteChar">
    <w:name w:val="Quote Char"/>
    <w:basedOn w:val="DefaultParagraphFont"/>
    <w:link w:val="Quote"/>
    <w:uiPriority w:val="29"/>
    <w:qFormat/>
    <w:rPr>
      <w:i/>
      <w:iCs/>
      <w:color w:val="000000" w:themeColor="text1"/>
      <w14:textFill>
        <w14:solidFill>
          <w14:schemeClr w14:val="tx1"/>
        </w14:solidFill>
      </w14:textFill>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14:textFill>
        <w14:solidFill>
          <w14:schemeClr w14:val="accent1"/>
        </w14:solidFill>
      </w14:textFill>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5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5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14:textFill>
        <w14:solidFill>
          <w14:schemeClr w14:val="tx1">
            <w14:lumMod w14:val="75000"/>
            <w14:lumOff w14:val="25000"/>
          </w14:schemeClr>
        </w14:solidFill>
      </w14:textFill>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14:textFill>
        <w14:solidFill>
          <w14:schemeClr w14:val="accent1"/>
        </w14:solidFill>
      </w14:textFill>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14:textFill>
        <w14:solidFill>
          <w14:schemeClr w14:val="tx1">
            <w14:lumMod w14:val="75000"/>
            <w14:lumOff w14:val="25000"/>
          </w14:schemeClr>
        </w14:solidFill>
      </w14:textFill>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14:textFill>
        <w14:solidFill>
          <w14:schemeClr w14:val="accent1"/>
        </w14:solidFill>
      </w14:textFill>
    </w:rPr>
  </w:style>
  <w:style w:type="character" w:customStyle="1" w:styleId="IntenseQuoteChar">
    <w:name w:val="Intense Quote Char"/>
    <w:basedOn w:val="DefaultParagraphFont"/>
    <w:link w:val="IntenseQuote"/>
    <w:uiPriority w:val="30"/>
    <w:qFormat/>
    <w:rPr>
      <w:b/>
      <w:bCs/>
      <w:i/>
      <w:iCs/>
      <w:color w:val="4F81BD" w:themeColor="accent1"/>
      <w14:textFill>
        <w14:solidFill>
          <w14:schemeClr w14:val="accent1"/>
        </w14:solidFill>
      </w14:textFill>
    </w:rPr>
  </w:style>
  <w:style w:type="character" w:customStyle="1" w:styleId="SubtleEmphasis">
    <w:name w:val="Subtle Emphasis"/>
    <w:basedOn w:val="DefaultParagraphFont"/>
    <w:uiPriority w:val="19"/>
    <w:qFormat/>
    <w:rPr>
      <w:i/>
      <w:iCs/>
      <w:color w:val="808080" w:themeColor="text1" w:themeTint="80"/>
      <w14:textFill>
        <w14:solidFill>
          <w14:schemeClr w14:val="tx1">
            <w14:lumMod w14:val="50000"/>
            <w14:lumOff w14:val="50000"/>
          </w14:schemeClr>
        </w14:solidFill>
      </w14:textFill>
    </w:rPr>
  </w:style>
  <w:style w:type="character" w:customStyle="1" w:styleId="IntenseEmphasis">
    <w:name w:val="Intense Emphasis"/>
    <w:basedOn w:val="DefaultParagraphFont"/>
    <w:uiPriority w:val="21"/>
    <w:qFormat/>
    <w:rPr>
      <w:b/>
      <w:bCs/>
      <w:i/>
      <w:iCs/>
      <w:color w:val="4F81BD" w:themeColor="accent1"/>
      <w14:textFill>
        <w14:solidFill>
          <w14:schemeClr w14:val="accent1"/>
        </w14:solidFill>
      </w14:textFill>
    </w:rPr>
  </w:style>
  <w:style w:type="character" w:customStyle="1" w:styleId="SubtleReference">
    <w:name w:val="Subtle Reference"/>
    <w:basedOn w:val="DefaultParagraphFont"/>
    <w:uiPriority w:val="31"/>
    <w:qFormat/>
    <w:rPr>
      <w:smallCaps/>
      <w:color w:val="C0504D" w:themeColor="accent2"/>
      <w:u w:val="single"/>
      <w14:textFill>
        <w14:solidFill>
          <w14:schemeClr w14:val="accent2"/>
        </w14:solidFill>
      </w14:textFill>
    </w:rPr>
  </w:style>
  <w:style w:type="character" w:customStyle="1" w:styleId="IntenseReference">
    <w:name w:val="Intense Reference"/>
    <w:basedOn w:val="DefaultParagraphFont"/>
    <w:uiPriority w:val="32"/>
    <w:qFormat/>
    <w:rPr>
      <w:b/>
      <w:bCs/>
      <w:smallCaps/>
      <w:color w:val="C0504D" w:themeColor="accent2"/>
      <w:spacing w:val="5"/>
      <w:u w:val="single"/>
      <w14:textFill>
        <w14:solidFill>
          <w14:schemeClr w14:val="accent2"/>
        </w14:solidFill>
      </w14:textFill>
    </w:rPr>
  </w:style>
  <w:style w:type="character" w:customStyle="1" w:styleId="BookTitle">
    <w:name w:val="Book Title"/>
    <w:basedOn w:val="DefaultParagraphFont"/>
    <w:uiPriority w:val="33"/>
    <w:qFormat/>
    <w:rPr>
      <w:b/>
      <w:bCs/>
      <w:smallCaps/>
      <w:spacing w:val="5"/>
    </w:rPr>
  </w:style>
  <w:style w:type="paragraph" w:customStyle="1" w:styleId="TOCHeading">
    <w:name w:val="TOC Heading"/>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4032</Words>
  <Characters>4068</Characters>
  <Application>Microsoft Office Word</Application>
  <DocSecurity>0</DocSecurity>
  <Lines>0</Lines>
  <Paragraphs>0</Paragraphs>
  <ScaleCrop>false</ScaleCrop>
  <Company/>
  <LinksUpToDate>false</LinksUpToDate>
  <CharactersWithSpaces>4068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初展</cp:lastModifiedBy>
  <cp:revision>1</cp:revision>
  <dcterms:created xsi:type="dcterms:W3CDTF">2013-12-23T23:15:00Z</dcterms:created>
  <dcterms:modified xsi:type="dcterms:W3CDTF">2026-11-02T04:53:24Z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F095F069A4A94E8CB5D64682C4F00DF6_12</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