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37366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p>
    <w:p w14:paraId="783E14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摘要</w:t>
      </w:r>
      <w:r>
        <w:rPr>
          <w:rFonts w:ascii="宋体" w:eastAsia="宋体" w:hAnsi="宋体" w:cs="宋体" w:hint="eastAsia"/>
          <w:sz w:val="21"/>
          <w:szCs w:val="21"/>
          <w:lang w:eastAsia="zh-CN"/>
        </w:rPr>
        <w:t>：</w:t>
      </w:r>
      <w:r>
        <w:rPr>
          <w:rFonts w:ascii="宋体" w:eastAsia="宋体" w:hAnsi="宋体" w:cs="宋体" w:hint="eastAsia"/>
          <w:sz w:val="21"/>
          <w:szCs w:val="21"/>
        </w:rPr>
        <w:t>目的</w:t>
      </w:r>
      <w:r>
        <w:rPr>
          <w:rFonts w:ascii="宋体" w:eastAsia="宋体" w:hAnsi="宋体" w:cs="宋体" w:hint="eastAsia"/>
          <w:sz w:val="21"/>
          <w:szCs w:val="21"/>
          <w:lang w:eastAsia="zh-CN"/>
        </w:rPr>
        <w:t>：</w:t>
      </w:r>
      <w:r>
        <w:rPr>
          <w:rFonts w:ascii="宋体" w:eastAsia="宋体" w:hAnsi="宋体" w:cs="宋体" w:hint="eastAsia"/>
          <w:sz w:val="21"/>
          <w:szCs w:val="21"/>
        </w:rPr>
        <w:t>研究ATP生物荧光检测技术在消毒供应中心（CSSD）手术器械清洗质量检测的应用价值，给器械清洗效果快速、客观评价提供参考。选择我</w:t>
      </w:r>
      <w:r>
        <w:rPr>
          <w:rFonts w:ascii="宋体" w:eastAsia="宋体" w:hAnsi="宋体" w:cs="宋体" w:hint="eastAsia"/>
          <w:sz w:val="21"/>
          <w:szCs w:val="21"/>
          <w:lang w:eastAsia="zh-CN"/>
        </w:rPr>
        <w:t>院</w:t>
      </w:r>
      <w:r>
        <w:rPr>
          <w:rFonts w:ascii="宋体" w:eastAsia="宋体" w:hAnsi="宋体" w:cs="宋体" w:hint="eastAsia"/>
          <w:sz w:val="21"/>
          <w:szCs w:val="21"/>
        </w:rPr>
        <w:t>消毒供应中心集中清洗消毒的手术器械480件，用目测法、ATP生物荧光检测法和细菌培养法对清洗效果进行评价，比较三种方法清洗合格率及检测时间，用Kappa检验分析ATP法和细菌培养法检测结果的一致性。目测合格率为85.42%，ATP生物荧光检测法合格率为94.58%，细菌培养法合格率为96.88%，三种方法清洗合格率比较有统计学意义（χ2=49.60，P＜0.001），ATP法合格率比目测</w:t>
      </w:r>
      <w:r>
        <w:rPr>
          <w:rFonts w:ascii="宋体" w:eastAsia="宋体" w:hAnsi="宋体" w:cs="宋体" w:hint="eastAsia"/>
          <w:sz w:val="21"/>
          <w:szCs w:val="21"/>
          <w:lang w:eastAsia="zh-CN"/>
        </w:rPr>
        <w:t>法</w:t>
      </w:r>
      <w:r>
        <w:rPr>
          <w:rFonts w:ascii="宋体" w:eastAsia="宋体" w:hAnsi="宋体" w:cs="宋体" w:hint="eastAsia"/>
          <w:sz w:val="21"/>
          <w:szCs w:val="21"/>
        </w:rPr>
        <w:t>高（χ2=22.41，P＜0.001），细菌培养法和ATP法结</w:t>
      </w:r>
      <w:r>
        <w:rPr>
          <w:rFonts w:ascii="宋体" w:eastAsia="宋体" w:hAnsi="宋体" w:cs="宋体" w:hint="eastAsia"/>
          <w:sz w:val="21"/>
          <w:szCs w:val="21"/>
          <w:lang w:eastAsia="zh-CN"/>
        </w:rPr>
        <w:t>果</w:t>
      </w:r>
      <w:r>
        <w:rPr>
          <w:rFonts w:ascii="宋体" w:eastAsia="宋体" w:hAnsi="宋体" w:cs="宋体" w:hint="eastAsia"/>
          <w:sz w:val="21"/>
          <w:szCs w:val="21"/>
        </w:rPr>
        <w:t>无统计学差异（χ2=3.08，P=0.079）。ATP法检测和细菌培养法结果一致度比较好，Kappa值为0.944，有统计学意义。ATP</w:t>
      </w:r>
      <w:r>
        <w:rPr>
          <w:rFonts w:ascii="宋体" w:eastAsia="宋体" w:hAnsi="宋体" w:cs="宋体" w:hint="eastAsia"/>
          <w:sz w:val="21"/>
          <w:szCs w:val="21"/>
          <w:lang w:eastAsia="zh-CN"/>
        </w:rPr>
        <w:t>法</w:t>
      </w:r>
      <w:r>
        <w:rPr>
          <w:rFonts w:ascii="宋体" w:eastAsia="宋体" w:hAnsi="宋体" w:cs="宋体" w:hint="eastAsia"/>
          <w:sz w:val="21"/>
          <w:szCs w:val="21"/>
        </w:rPr>
        <w:t>单件器械检测时间（0.32±0.08）min短于目测法的（0.68±0.15）min（t=46.38，P＜0.001）。结论</w:t>
      </w:r>
      <w:r>
        <w:rPr>
          <w:rFonts w:ascii="宋体" w:eastAsia="宋体" w:hAnsi="宋体" w:cs="宋体" w:hint="eastAsia"/>
          <w:sz w:val="21"/>
          <w:szCs w:val="21"/>
        </w:rPr>
        <w:t>：ATP生物荧光</w:t>
      </w:r>
      <w:r>
        <w:rPr>
          <w:rFonts w:ascii="宋体" w:eastAsia="宋体" w:hAnsi="宋体" w:cs="宋体" w:hint="eastAsia"/>
          <w:sz w:val="21"/>
          <w:szCs w:val="21"/>
        </w:rPr>
        <w:t>检测法可以迅速、准确地反映器械清洗的效果，并且和细菌培养法的结果相吻合，可以作为消毒供应中心清洗质量常规检测和快速筛查的方法。</w:t>
      </w:r>
    </w:p>
    <w:p w14:paraId="51CF5D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关键词消毒供应中心ATP生物荧光检测器械清洗质量质量控制消毒供应中</w:t>
      </w:r>
    </w:p>
    <w:p w14:paraId="6371DB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心是全院可重复使用的诊疗器械的回收、清洗、消毒、灭菌中心，器械清洗质量的好坏直接关系到灭菌是否成功，也同医院感染控制的效果息息相关。器械表面如果有残留的血迹、组织、蛋白等有机物，就会在金属表面慢慢形成生物膜，生物膜不但可以保护隐藏在里面的病原微生物，而且可以阻止灭菌因子穿透渗透。即使之后的灭菌程序参数都满足要求，但是生物膜保护的微生物还存在，就会埋下手术部位感染的隐患。因此清洗环节在业内被当作灭菌成功的第一道、也是最根本的一道防线，是CSSD质量控制环节中的重要节点。</w:t>
      </w:r>
    </w:p>
    <w:p w14:paraId="07FF5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以往清洗效果的评判大多依靠目测法，操作简便，不需要设备，但是也存在明显的缺点，主观性大、灵敏度低，肉眼无法看到管腔内壁、关节处、齿槽根部等不易发现的地方的微量残留，漏检时有发生。细菌培养法是金标准，但是需要48小时以上才能得到结果，时效性差，不能满足即时反馈、及时干预的质控需要。在这种情况下，寻找灵敏度高、客观性强、速度快的新的监测手段，对于消毒供应来说是刻不容缓的问题。</w:t>
      </w:r>
    </w:p>
    <w:p w14:paraId="7D80FC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ATP生物荧光检测技术应运而生。原理就是利用萤光素酶和ATP的生物发光反应来定量测量物体表面残留有机物中ATP的含量，将清洗的效果以相对发光值（RLU）的形式表现出来，全程检测只需几秒钟，灵敏度高、客观、快速，正在进入医院感控监测领域。应用到我院消毒供应中心器械清洗质量监测中，用目测法、细菌培养法进行比较，对器械清洗质量监测的临床价值进行评价，寻找更好的器械清洗质量监测方法。</w:t>
      </w:r>
    </w:p>
    <w:p w14:paraId="6C3EEE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1资料与方法</w:t>
      </w:r>
    </w:p>
    <w:p w14:paraId="0FC996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1.1一般资料</w:t>
      </w:r>
    </w:p>
    <w:p w14:paraId="6ACB0C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选取2025年3月-2025年9月我院消毒供应中心集中清洗消毒后的手术器械480件，为手术剪、血管钳、持针器、腹腔镜器械、管腔器械等常用器械。纳入的标准是经过清洗和消毒的手术器械，处于待包装的可重复使用器械。排除有明显锈蚀、结构损坏或者必须返洗处理的。480件器械一起做目测法、ATP生物荧光检测法以及细菌培养法的检测，每件器械的检测间隔不能超过30分钟，防止存放时间的不同造成检测结果出现偏差。检测工作有两名经过统一培训的专职人员来执行，如果两人判断不同就协商确定一个结果。经过医院医学伦理委员会的审查并获得批准，临床研究符合伦理学标准。</w:t>
      </w:r>
    </w:p>
    <w:p w14:paraId="302888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1.2方法</w:t>
      </w:r>
    </w:p>
    <w:p w14:paraId="4BB414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所有器械均根据WS 310.2-2016医院消毒供应中心第二部分清洗消毒和灭菌技术操作规范的要求进行回收、分类、清洗、消毒，并将检测环节接过来。</w:t>
      </w:r>
    </w:p>
    <w:p w14:paraId="0638E3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目测法</w:t>
      </w:r>
      <w:r>
        <w:rPr>
          <w:rFonts w:ascii="宋体" w:eastAsia="宋体" w:hAnsi="宋体" w:cs="宋体" w:hint="eastAsia"/>
          <w:sz w:val="21"/>
          <w:szCs w:val="21"/>
        </w:rPr>
        <w:t>是在500</w:t>
      </w:r>
      <w:r>
        <w:rPr>
          <w:rFonts w:ascii="宋体" w:eastAsia="宋体" w:hAnsi="宋体" w:cs="宋体" w:hint="eastAsia"/>
          <w:sz w:val="21"/>
          <w:szCs w:val="21"/>
          <w:lang w:val="en-US" w:eastAsia="zh-CN"/>
        </w:rPr>
        <w:t xml:space="preserve"> </w:t>
      </w:r>
      <w:r>
        <w:rPr>
          <w:rFonts w:ascii="宋体" w:eastAsia="宋体" w:hAnsi="宋体" w:cs="宋体" w:hint="eastAsia"/>
          <w:sz w:val="21"/>
          <w:szCs w:val="21"/>
        </w:rPr>
        <w:t>lx以上的照度下，在离器械表面约20cm处用带光源放大镜检查器械表面、关节、管腔、齿槽等处肉眼看不到血迹、污迹、水垢、锈斑、碎屑等残留物的判定为合格。</w:t>
      </w:r>
    </w:p>
    <w:p w14:paraId="22558D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ATP生物荧光检测</w:t>
      </w:r>
      <w:r>
        <w:rPr>
          <w:rFonts w:ascii="宋体" w:eastAsia="宋体" w:hAnsi="宋体" w:cs="宋体" w:hint="eastAsia"/>
          <w:sz w:val="21"/>
          <w:szCs w:val="21"/>
        </w:rPr>
        <w:t>法，用ATP荧光检测仪和配套的采样拭子，在器械表面分别从关节、齿槽、管腔内壁等不易清洗的部位涂上拭子，将拭子插到检测仪里读取相对发光值(RLU)，RLU≤100为合格，&gt;100为不合格。</w:t>
      </w:r>
    </w:p>
    <w:p w14:paraId="2EFE0E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细菌培养法</w:t>
      </w:r>
      <w:r>
        <w:rPr>
          <w:rFonts w:ascii="宋体" w:eastAsia="宋体" w:hAnsi="宋体" w:cs="宋体" w:hint="eastAsia"/>
          <w:sz w:val="21"/>
          <w:szCs w:val="21"/>
        </w:rPr>
        <w:t>用棉拭子蘸取中和洗脱液来回擦洗器械内外面，然后放在35℃恒温箱内培养48h，用菌落计数法来判断是否合格，菌落计数</w:t>
      </w:r>
      <w:r>
        <w:rPr>
          <w:rFonts w:ascii="宋体" w:eastAsia="宋体" w:hAnsi="宋体" w:cs="宋体" w:hint="eastAsia"/>
          <w:sz w:val="21"/>
          <w:szCs w:val="21"/>
        </w:rPr>
        <w:t>小于5CFU/件为合格。</w:t>
      </w:r>
    </w:p>
    <w:p w14:paraId="17E4C9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1.3观察指标</w:t>
      </w:r>
    </w:p>
    <w:p w14:paraId="677E32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比较三种方法检测的清洗合格率，用Kappa一致性检验ATP法和细菌培养法检测结果是否一致，记录和比较目测法和ATP法检测一件器械所需时间。细菌培养法由于需要较长的培养时间而没有做时间的比较。</w:t>
      </w:r>
    </w:p>
    <w:p w14:paraId="2041E7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1.4统计学处理</w:t>
      </w:r>
    </w:p>
    <w:p w14:paraId="69D8D2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使用SPSS 26.0进行数据处理。计数资料用例数占例数的比例来表示，组间差异用χ²检验；计量资料用x̄±s表示，两组比较用独立样本t检验；一致性分析用Kappa检验。</w:t>
      </w:r>
      <w:r>
        <w:rPr>
          <w:rFonts w:ascii="宋体" w:eastAsia="宋体" w:hAnsi="宋体" w:cs="宋体" w:hint="eastAsia"/>
          <w:sz w:val="21"/>
          <w:szCs w:val="21"/>
          <w:lang w:eastAsia="zh-CN"/>
        </w:rPr>
        <w:t>P</w:t>
      </w:r>
      <w:r>
        <w:rPr>
          <w:rFonts w:ascii="宋体" w:eastAsia="宋体" w:hAnsi="宋体" w:cs="宋体" w:hint="eastAsia"/>
          <w:sz w:val="21"/>
          <w:szCs w:val="21"/>
        </w:rPr>
        <w:t>＜0.05为有统计学意义。</w:t>
      </w:r>
    </w:p>
    <w:p w14:paraId="74D002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2结果</w:t>
      </w:r>
    </w:p>
    <w:p w14:paraId="635554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2.1三种检测方法清洗合格率比较</w:t>
      </w:r>
    </w:p>
    <w:p w14:paraId="4EB05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480件器械分别用目测法、ATP生物荧光检测法、细菌培养法检测，合格率分别为85.42%、94.58%、96.88%。三组间合格率差异有统计学意义（χ²=49.60</w:t>
      </w:r>
      <w:r>
        <w:rPr>
          <w:rFonts w:ascii="宋体" w:eastAsia="宋体" w:hAnsi="宋体" w:cs="宋体" w:hint="eastAsia"/>
          <w:sz w:val="21"/>
          <w:szCs w:val="21"/>
          <w:lang w:eastAsia="zh-CN"/>
        </w:rPr>
        <w:t>，</w:t>
      </w:r>
      <w:r>
        <w:rPr>
          <w:rFonts w:ascii="宋体" w:eastAsia="宋体" w:hAnsi="宋体" w:cs="宋体" w:hint="eastAsia"/>
          <w:sz w:val="21"/>
          <w:szCs w:val="21"/>
        </w:rPr>
        <w:t>P＜0.001）。ATP法合格率大于目测法，两两比较中具有统计学意义（χ²=22.41，P＜0.</w:t>
      </w:r>
      <w:r>
        <w:rPr>
          <w:rFonts w:ascii="宋体" w:eastAsia="宋体" w:hAnsi="宋体" w:cs="宋体" w:hint="eastAsia"/>
          <w:sz w:val="21"/>
          <w:szCs w:val="21"/>
        </w:rPr>
        <w:t>001），ATP法和细菌培养法之间无统计学差异（χ²=3.08，P=0.079），说明ATP法的检测能力接近于金标准，比只用目测要好很多。见表1。</w:t>
      </w:r>
    </w:p>
    <w:p w14:paraId="193759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表1三种检测方法对480件手术器械清洗质量的检测结果比较</w:t>
      </w:r>
    </w:p>
    <w:tbl>
      <w:tblPr>
        <w:tblW w:w="68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2222"/>
        <w:gridCol w:w="1157"/>
        <w:gridCol w:w="1454"/>
        <w:gridCol w:w="2053"/>
      </w:tblGrid>
      <w:tr w14:paraId="0A3DA537">
        <w:tblPrEx>
          <w:tblW w:w="68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600"/>
          <w:jc w:val="center"/>
        </w:trPr>
        <w:tc>
          <w:tcPr>
            <w:tcW w:w="2222" w:type="dxa"/>
            <w:tcBorders>
              <w:top w:val="single" w:sz="12" w:space="0" w:color="000000"/>
              <w:left w:val="nil"/>
              <w:bottom w:val="single" w:sz="4" w:space="0" w:color="000000"/>
              <w:right w:val="nil"/>
              <w:tl2br w:val="nil"/>
            </w:tcBorders>
            <w:shd w:val="clear" w:color="auto" w:fill="FFFFFF"/>
            <w:vAlign w:val="center"/>
          </w:tcPr>
          <w:p w14:paraId="6D85DE0B">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方法</w:t>
            </w:r>
          </w:p>
        </w:tc>
        <w:tc>
          <w:tcPr>
            <w:tcW w:w="1157" w:type="dxa"/>
            <w:tcBorders>
              <w:top w:val="single" w:sz="12" w:space="0" w:color="000000"/>
              <w:left w:val="nil"/>
              <w:bottom w:val="single" w:sz="4" w:space="0" w:color="000000"/>
              <w:right w:val="nil"/>
            </w:tcBorders>
            <w:shd w:val="clear" w:color="auto" w:fill="FFFFFF"/>
            <w:vAlign w:val="center"/>
          </w:tcPr>
          <w:p w14:paraId="1B565FCA">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合格（件）</w:t>
            </w:r>
          </w:p>
        </w:tc>
        <w:tc>
          <w:tcPr>
            <w:tcW w:w="1454" w:type="dxa"/>
            <w:tcBorders>
              <w:top w:val="single" w:sz="12" w:space="0" w:color="000000"/>
              <w:left w:val="nil"/>
              <w:bottom w:val="single" w:sz="4" w:space="0" w:color="000000"/>
              <w:right w:val="nil"/>
            </w:tcBorders>
            <w:shd w:val="clear" w:color="auto" w:fill="FFFFFF"/>
            <w:vAlign w:val="center"/>
          </w:tcPr>
          <w:p w14:paraId="232224D1">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不合格（件）</w:t>
            </w:r>
          </w:p>
        </w:tc>
        <w:tc>
          <w:tcPr>
            <w:tcW w:w="2053" w:type="dxa"/>
            <w:tcBorders>
              <w:top w:val="single" w:sz="12" w:space="0" w:color="000000"/>
              <w:left w:val="nil"/>
              <w:bottom w:val="single" w:sz="4" w:space="0" w:color="000000"/>
              <w:right w:val="nil"/>
            </w:tcBorders>
            <w:shd w:val="clear" w:color="auto" w:fill="FFFFFF"/>
            <w:vAlign w:val="center"/>
          </w:tcPr>
          <w:p w14:paraId="26E0169A">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合格率（%）</w:t>
            </w:r>
          </w:p>
        </w:tc>
      </w:tr>
      <w:tr w14:paraId="5DFE15B4">
        <w:tblPrEx>
          <w:tblW w:w="6886" w:type="dxa"/>
          <w:jc w:val="center"/>
          <w:shd w:val="clear" w:color="auto" w:fill="auto"/>
          <w:tblCellMar>
            <w:top w:w="0" w:type="dxa"/>
            <w:left w:w="108" w:type="dxa"/>
            <w:bottom w:w="0" w:type="dxa"/>
            <w:right w:w="108" w:type="dxa"/>
          </w:tblCellMar>
        </w:tblPrEx>
        <w:trPr>
          <w:trHeight w:val="600"/>
          <w:jc w:val="center"/>
        </w:trPr>
        <w:tc>
          <w:tcPr>
            <w:tcW w:w="2222" w:type="dxa"/>
            <w:tcBorders>
              <w:top w:val="single" w:sz="4" w:space="0" w:color="000000"/>
              <w:left w:val="nil"/>
              <w:bottom w:val="nil"/>
              <w:right w:val="nil"/>
            </w:tcBorders>
            <w:shd w:val="clear" w:color="auto" w:fill="FFFFFF"/>
            <w:vAlign w:val="center"/>
          </w:tcPr>
          <w:p w14:paraId="7D413E71">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目测法</w:t>
            </w:r>
          </w:p>
        </w:tc>
        <w:tc>
          <w:tcPr>
            <w:tcW w:w="1157" w:type="dxa"/>
            <w:tcBorders>
              <w:top w:val="single" w:sz="4" w:space="0" w:color="000000"/>
              <w:left w:val="nil"/>
              <w:bottom w:val="nil"/>
              <w:right w:val="nil"/>
            </w:tcBorders>
            <w:shd w:val="clear" w:color="auto" w:fill="FFFFFF"/>
            <w:vAlign w:val="center"/>
          </w:tcPr>
          <w:p w14:paraId="7608F931">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410</w:t>
            </w:r>
          </w:p>
        </w:tc>
        <w:tc>
          <w:tcPr>
            <w:tcW w:w="1454" w:type="dxa"/>
            <w:tcBorders>
              <w:top w:val="single" w:sz="4" w:space="0" w:color="000000"/>
              <w:left w:val="nil"/>
              <w:bottom w:val="nil"/>
              <w:right w:val="nil"/>
            </w:tcBorders>
            <w:shd w:val="clear" w:color="auto" w:fill="FFFFFF"/>
            <w:vAlign w:val="center"/>
          </w:tcPr>
          <w:p w14:paraId="1CCF71BD">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70</w:t>
            </w:r>
          </w:p>
        </w:tc>
        <w:tc>
          <w:tcPr>
            <w:tcW w:w="2053" w:type="dxa"/>
            <w:tcBorders>
              <w:top w:val="single" w:sz="4" w:space="0" w:color="000000"/>
              <w:left w:val="nil"/>
              <w:bottom w:val="nil"/>
              <w:right w:val="nil"/>
            </w:tcBorders>
            <w:shd w:val="clear" w:color="auto" w:fill="FFFFFF"/>
            <w:vAlign w:val="center"/>
          </w:tcPr>
          <w:p w14:paraId="2F975DC9">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85.42</w:t>
            </w:r>
          </w:p>
        </w:tc>
      </w:tr>
      <w:tr w14:paraId="5DF36067">
        <w:tblPrEx>
          <w:tblW w:w="6886" w:type="dxa"/>
          <w:jc w:val="center"/>
          <w:shd w:val="clear" w:color="auto" w:fill="auto"/>
          <w:tblCellMar>
            <w:top w:w="0" w:type="dxa"/>
            <w:left w:w="108" w:type="dxa"/>
            <w:bottom w:w="0" w:type="dxa"/>
            <w:right w:w="108" w:type="dxa"/>
          </w:tblCellMar>
        </w:tblPrEx>
        <w:trPr>
          <w:trHeight w:val="600"/>
          <w:jc w:val="center"/>
        </w:trPr>
        <w:tc>
          <w:tcPr>
            <w:tcW w:w="2222" w:type="dxa"/>
            <w:tcBorders>
              <w:top w:val="nil"/>
              <w:left w:val="nil"/>
              <w:bottom w:val="nil"/>
              <w:right w:val="nil"/>
            </w:tcBorders>
            <w:shd w:val="clear" w:color="auto" w:fill="FFFFFF"/>
            <w:vAlign w:val="center"/>
          </w:tcPr>
          <w:p w14:paraId="5637F7B6">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ATP生物荧光检测法</w:t>
            </w:r>
          </w:p>
        </w:tc>
        <w:tc>
          <w:tcPr>
            <w:tcW w:w="1157" w:type="dxa"/>
            <w:tcBorders>
              <w:top w:val="nil"/>
              <w:left w:val="nil"/>
              <w:bottom w:val="nil"/>
              <w:right w:val="nil"/>
            </w:tcBorders>
            <w:shd w:val="clear" w:color="auto" w:fill="FFFFFF"/>
            <w:vAlign w:val="center"/>
          </w:tcPr>
          <w:p w14:paraId="52B61FDF">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454</w:t>
            </w:r>
          </w:p>
        </w:tc>
        <w:tc>
          <w:tcPr>
            <w:tcW w:w="1454" w:type="dxa"/>
            <w:tcBorders>
              <w:top w:val="nil"/>
              <w:left w:val="nil"/>
              <w:bottom w:val="nil"/>
              <w:right w:val="nil"/>
            </w:tcBorders>
            <w:shd w:val="clear" w:color="auto" w:fill="FFFFFF"/>
            <w:vAlign w:val="center"/>
          </w:tcPr>
          <w:p w14:paraId="1D920CB7">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26</w:t>
            </w:r>
          </w:p>
        </w:tc>
        <w:tc>
          <w:tcPr>
            <w:tcW w:w="2053" w:type="dxa"/>
            <w:tcBorders>
              <w:top w:val="nil"/>
              <w:left w:val="nil"/>
              <w:bottom w:val="nil"/>
              <w:right w:val="nil"/>
            </w:tcBorders>
            <w:shd w:val="clear" w:color="auto" w:fill="FFFFFF"/>
            <w:vAlign w:val="center"/>
          </w:tcPr>
          <w:p w14:paraId="4940E7EE">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94.58</w:t>
            </w:r>
          </w:p>
        </w:tc>
      </w:tr>
      <w:tr w14:paraId="3A695808">
        <w:tblPrEx>
          <w:tblW w:w="6886" w:type="dxa"/>
          <w:jc w:val="center"/>
          <w:shd w:val="clear" w:color="auto" w:fill="auto"/>
          <w:tblCellMar>
            <w:top w:w="0" w:type="dxa"/>
            <w:left w:w="108" w:type="dxa"/>
            <w:bottom w:w="0" w:type="dxa"/>
            <w:right w:w="108" w:type="dxa"/>
          </w:tblCellMar>
        </w:tblPrEx>
        <w:trPr>
          <w:trHeight w:val="600"/>
          <w:jc w:val="center"/>
        </w:trPr>
        <w:tc>
          <w:tcPr>
            <w:tcW w:w="2222" w:type="dxa"/>
            <w:tcBorders>
              <w:top w:val="nil"/>
              <w:left w:val="nil"/>
              <w:bottom w:val="single" w:sz="12" w:space="0" w:color="000000"/>
              <w:right w:val="nil"/>
            </w:tcBorders>
            <w:shd w:val="clear" w:color="auto" w:fill="FFFFFF"/>
            <w:vAlign w:val="center"/>
          </w:tcPr>
          <w:p w14:paraId="74CAA992">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细菌培养法</w:t>
            </w:r>
          </w:p>
        </w:tc>
        <w:tc>
          <w:tcPr>
            <w:tcW w:w="1157" w:type="dxa"/>
            <w:tcBorders>
              <w:top w:val="nil"/>
              <w:left w:val="nil"/>
              <w:bottom w:val="single" w:sz="12" w:space="0" w:color="000000"/>
              <w:right w:val="nil"/>
            </w:tcBorders>
            <w:shd w:val="clear" w:color="auto" w:fill="FFFFFF"/>
            <w:vAlign w:val="center"/>
          </w:tcPr>
          <w:p w14:paraId="5FF774A5">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465</w:t>
            </w:r>
          </w:p>
        </w:tc>
        <w:tc>
          <w:tcPr>
            <w:tcW w:w="1454" w:type="dxa"/>
            <w:tcBorders>
              <w:top w:val="nil"/>
              <w:left w:val="nil"/>
              <w:bottom w:val="single" w:sz="12" w:space="0" w:color="000000"/>
              <w:right w:val="nil"/>
            </w:tcBorders>
            <w:shd w:val="clear" w:color="auto" w:fill="FFFFFF"/>
            <w:vAlign w:val="center"/>
          </w:tcPr>
          <w:p w14:paraId="349890C2">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15</w:t>
            </w:r>
          </w:p>
        </w:tc>
        <w:tc>
          <w:tcPr>
            <w:tcW w:w="2053" w:type="dxa"/>
            <w:tcBorders>
              <w:top w:val="nil"/>
              <w:left w:val="nil"/>
              <w:bottom w:val="single" w:sz="12" w:space="0" w:color="000000"/>
              <w:right w:val="nil"/>
            </w:tcBorders>
            <w:shd w:val="clear" w:color="auto" w:fill="FFFFFF"/>
            <w:vAlign w:val="center"/>
          </w:tcPr>
          <w:p w14:paraId="1298E75C">
            <w:pPr>
              <w:rPr>
                <w:rFonts w:ascii="宋体" w:eastAsia="宋体" w:hAnsi="宋体" w:cs="宋体" w:hint="eastAsia"/>
                <w:b w:val="0"/>
                <w:color w:val="000000"/>
                <w:sz w:val="21"/>
                <w:szCs w:val="21"/>
              </w:rPr>
            </w:pPr>
            <w:r>
              <w:rPr>
                <w:rFonts w:ascii="宋体" w:eastAsia="宋体" w:hAnsi="宋体" w:cs="宋体" w:hint="eastAsia"/>
                <w:b w:val="0"/>
                <w:color w:val="000000"/>
                <w:sz w:val="21"/>
                <w:szCs w:val="21"/>
                <w:lang w:val="en-US" w:eastAsia="zh-CN"/>
              </w:rPr>
              <w:t>96.88</w:t>
            </w:r>
          </w:p>
        </w:tc>
      </w:tr>
    </w:tbl>
    <w:p w14:paraId="751AC5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2.2 ATP法与细菌培养法检测结果一致性分析</w:t>
      </w:r>
    </w:p>
    <w:p w14:paraId="1E18C8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用细菌培养法做参照，ATP生物荧光检测法结果与之总体符合率高达96.88%，Kappa值为0.944，P</w:t>
      </w:r>
      <w:r>
        <w:rPr>
          <w:rFonts w:ascii="宋体" w:eastAsia="宋体" w:hAnsi="宋体" w:cs="宋体" w:hint="eastAsia"/>
          <w:sz w:val="21"/>
          <w:szCs w:val="21"/>
          <w:lang w:eastAsia="zh-CN"/>
        </w:rPr>
        <w:t>＜</w:t>
      </w:r>
      <w:r>
        <w:rPr>
          <w:rFonts w:ascii="宋体" w:eastAsia="宋体" w:hAnsi="宋体" w:cs="宋体" w:hint="eastAsia"/>
          <w:sz w:val="21"/>
          <w:szCs w:val="21"/>
        </w:rPr>
        <w:t>0.001，说明两者一致性很高。配对卡方检验（McNemar）得出两法不一致频数有统计学意义的χ²=6.67，P＜0.05，大部分是13件器械ATP法判定超标，培养法阴性，说明ATP法比较敏感，可以检测到培养法不能量化的非活性有机物残留。见表2。</w:t>
      </w:r>
    </w:p>
    <w:p w14:paraId="013E21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sz w:val="21"/>
          <w:szCs w:val="21"/>
        </w:rPr>
      </w:pPr>
      <w:r>
        <w:rPr>
          <w:rFonts w:ascii="宋体" w:eastAsia="宋体" w:hAnsi="宋体" w:cs="宋体" w:hint="eastAsia"/>
          <w:sz w:val="21"/>
          <w:szCs w:val="21"/>
        </w:rPr>
        <w:t>表2　ATP生物荧光检测法与细菌培养法检测结果一致性比较（件）</w:t>
      </w:r>
    </w:p>
    <w:tbl>
      <w:tblPr>
        <w:tblW w:w="61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1525"/>
        <w:gridCol w:w="1163"/>
        <w:gridCol w:w="1453"/>
        <w:gridCol w:w="2054"/>
      </w:tblGrid>
      <w:tr w14:paraId="5B4787DA">
        <w:tblPrEx>
          <w:tblW w:w="61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600"/>
          <w:jc w:val="center"/>
        </w:trPr>
        <w:tc>
          <w:tcPr>
            <w:tcW w:w="1525" w:type="dxa"/>
            <w:tcBorders>
              <w:top w:val="single" w:sz="12" w:space="0" w:color="000000"/>
              <w:left w:val="nil"/>
              <w:bottom w:val="single" w:sz="4" w:space="0" w:color="000000"/>
              <w:right w:val="nil"/>
              <w:tl2br w:val="nil"/>
            </w:tcBorders>
            <w:shd w:val="clear" w:color="auto" w:fill="FFFFFF"/>
            <w:vAlign w:val="center"/>
          </w:tcPr>
          <w:p w14:paraId="26765DAA">
            <w:pPr>
              <w:keepNext w:val="0"/>
              <w:keepLines w:val="0"/>
              <w:widowControl/>
              <w:suppressLineNumbers w:val="0"/>
              <w:jc w:val="center"/>
              <w:textAlignment w:val="center"/>
              <w:rPr>
                <w:rFonts w:ascii="宋体" w:eastAsia="宋体" w:hAnsi="宋体" w:cs="宋体" w:hint="eastAsia"/>
                <w:b w:val="0"/>
                <w:bCs/>
                <w:i w:val="0"/>
                <w:iCs w:val="0"/>
                <w:color w:val="000000"/>
                <w:sz w:val="21"/>
                <w:szCs w:val="21"/>
                <w:u w:val="none"/>
              </w:rPr>
            </w:pPr>
            <w:r>
              <w:rPr>
                <w:rFonts w:ascii="宋体" w:eastAsia="宋体" w:hAnsi="宋体" w:cs="宋体" w:hint="eastAsia"/>
                <w:b w:val="0"/>
                <w:bCs/>
                <w:i w:val="0"/>
                <w:iCs w:val="0"/>
                <w:color w:val="000000"/>
                <w:kern w:val="0"/>
                <w:sz w:val="21"/>
                <w:szCs w:val="21"/>
                <w:u w:val="none"/>
                <w:bdr w:val="none" w:sz="0" w:space="0" w:color="auto"/>
                <w:lang w:val="en-US" w:eastAsia="zh-CN" w:bidi="ar"/>
              </w:rPr>
              <w:t>ATP法</w:t>
            </w:r>
          </w:p>
        </w:tc>
        <w:tc>
          <w:tcPr>
            <w:tcW w:w="1163" w:type="dxa"/>
            <w:tcBorders>
              <w:top w:val="single" w:sz="12" w:space="0" w:color="000000"/>
              <w:left w:val="nil"/>
              <w:bottom w:val="single" w:sz="4" w:space="0" w:color="000000"/>
              <w:right w:val="nil"/>
            </w:tcBorders>
            <w:shd w:val="clear" w:color="auto" w:fill="FFFFFF"/>
            <w:vAlign w:val="center"/>
          </w:tcPr>
          <w:p w14:paraId="033055C2">
            <w:pPr>
              <w:keepNext w:val="0"/>
              <w:keepLines w:val="0"/>
              <w:widowControl/>
              <w:suppressLineNumbers w:val="0"/>
              <w:jc w:val="center"/>
              <w:textAlignment w:val="center"/>
              <w:rPr>
                <w:rFonts w:ascii="宋体" w:eastAsia="宋体" w:hAnsi="宋体" w:cs="宋体" w:hint="eastAsia"/>
                <w:b w:val="0"/>
                <w:bCs/>
                <w:i w:val="0"/>
                <w:iCs w:val="0"/>
                <w:color w:val="000000"/>
                <w:sz w:val="21"/>
                <w:szCs w:val="21"/>
                <w:u w:val="none"/>
              </w:rPr>
            </w:pPr>
            <w:r>
              <w:rPr>
                <w:rFonts w:ascii="宋体" w:eastAsia="宋体" w:hAnsi="宋体" w:cs="宋体" w:hint="eastAsia"/>
                <w:b w:val="0"/>
                <w:bCs/>
                <w:i w:val="0"/>
                <w:iCs w:val="0"/>
                <w:color w:val="000000"/>
                <w:kern w:val="0"/>
                <w:sz w:val="21"/>
                <w:szCs w:val="21"/>
                <w:u w:val="none"/>
                <w:bdr w:val="none" w:sz="0" w:space="0" w:color="auto"/>
                <w:lang w:val="en-US" w:eastAsia="zh-CN" w:bidi="ar"/>
              </w:rPr>
              <w:t>培养合格</w:t>
            </w:r>
          </w:p>
        </w:tc>
        <w:tc>
          <w:tcPr>
            <w:tcW w:w="1453" w:type="dxa"/>
            <w:tcBorders>
              <w:top w:val="single" w:sz="12" w:space="0" w:color="000000"/>
              <w:left w:val="nil"/>
              <w:bottom w:val="single" w:sz="4" w:space="0" w:color="000000"/>
              <w:right w:val="nil"/>
            </w:tcBorders>
            <w:shd w:val="clear" w:color="auto" w:fill="FFFFFF"/>
            <w:vAlign w:val="center"/>
          </w:tcPr>
          <w:p w14:paraId="45A7C09E">
            <w:pPr>
              <w:keepNext w:val="0"/>
              <w:keepLines w:val="0"/>
              <w:widowControl/>
              <w:suppressLineNumbers w:val="0"/>
              <w:jc w:val="center"/>
              <w:textAlignment w:val="center"/>
              <w:rPr>
                <w:rFonts w:ascii="宋体" w:eastAsia="宋体" w:hAnsi="宋体" w:cs="宋体" w:hint="eastAsia"/>
                <w:b w:val="0"/>
                <w:bCs/>
                <w:i w:val="0"/>
                <w:iCs w:val="0"/>
                <w:color w:val="000000"/>
                <w:sz w:val="21"/>
                <w:szCs w:val="21"/>
                <w:u w:val="none"/>
              </w:rPr>
            </w:pPr>
            <w:r>
              <w:rPr>
                <w:rFonts w:ascii="宋体" w:eastAsia="宋体" w:hAnsi="宋体" w:cs="宋体" w:hint="eastAsia"/>
                <w:b w:val="0"/>
                <w:bCs/>
                <w:i w:val="0"/>
                <w:iCs w:val="0"/>
                <w:color w:val="000000"/>
                <w:kern w:val="0"/>
                <w:sz w:val="21"/>
                <w:szCs w:val="21"/>
                <w:u w:val="none"/>
                <w:bdr w:val="none" w:sz="0" w:space="0" w:color="auto"/>
                <w:lang w:val="en-US" w:eastAsia="zh-CN" w:bidi="ar"/>
              </w:rPr>
              <w:t>培养不合格</w:t>
            </w:r>
          </w:p>
        </w:tc>
        <w:tc>
          <w:tcPr>
            <w:tcW w:w="2054" w:type="dxa"/>
            <w:tcBorders>
              <w:top w:val="single" w:sz="12" w:space="0" w:color="000000"/>
              <w:left w:val="nil"/>
              <w:bottom w:val="single" w:sz="4" w:space="0" w:color="000000"/>
              <w:right w:val="nil"/>
            </w:tcBorders>
            <w:shd w:val="clear" w:color="auto" w:fill="FFFFFF"/>
            <w:vAlign w:val="center"/>
          </w:tcPr>
          <w:p w14:paraId="61466948">
            <w:pPr>
              <w:keepNext w:val="0"/>
              <w:keepLines w:val="0"/>
              <w:widowControl/>
              <w:suppressLineNumbers w:val="0"/>
              <w:jc w:val="center"/>
              <w:textAlignment w:val="center"/>
              <w:rPr>
                <w:rFonts w:ascii="宋体" w:eastAsia="宋体" w:hAnsi="宋体" w:cs="宋体" w:hint="eastAsia"/>
                <w:b w:val="0"/>
                <w:bCs/>
                <w:i w:val="0"/>
                <w:iCs w:val="0"/>
                <w:color w:val="000000"/>
                <w:sz w:val="21"/>
                <w:szCs w:val="21"/>
                <w:u w:val="none"/>
              </w:rPr>
            </w:pPr>
            <w:r>
              <w:rPr>
                <w:rFonts w:ascii="宋体" w:eastAsia="宋体" w:hAnsi="宋体" w:cs="宋体" w:hint="eastAsia"/>
                <w:b w:val="0"/>
                <w:bCs/>
                <w:i w:val="0"/>
                <w:iCs w:val="0"/>
                <w:color w:val="000000"/>
                <w:kern w:val="0"/>
                <w:sz w:val="21"/>
                <w:szCs w:val="21"/>
                <w:u w:val="none"/>
                <w:bdr w:val="none" w:sz="0" w:space="0" w:color="auto"/>
                <w:lang w:val="en-US" w:eastAsia="zh-CN" w:bidi="ar"/>
              </w:rPr>
              <w:t>合计</w:t>
            </w:r>
          </w:p>
        </w:tc>
      </w:tr>
      <w:tr w14:paraId="7C0A6D52">
        <w:tblPrEx>
          <w:tblW w:w="6195" w:type="dxa"/>
          <w:jc w:val="center"/>
          <w:shd w:val="clear" w:color="auto" w:fill="auto"/>
          <w:tblCellMar>
            <w:top w:w="0" w:type="dxa"/>
            <w:left w:w="108" w:type="dxa"/>
            <w:bottom w:w="0" w:type="dxa"/>
            <w:right w:w="108" w:type="dxa"/>
          </w:tblCellMar>
        </w:tblPrEx>
        <w:trPr>
          <w:trHeight w:val="600"/>
          <w:jc w:val="center"/>
        </w:trPr>
        <w:tc>
          <w:tcPr>
            <w:tcW w:w="1525" w:type="dxa"/>
            <w:tcBorders>
              <w:top w:val="single" w:sz="4" w:space="0" w:color="000000"/>
              <w:left w:val="nil"/>
              <w:bottom w:val="nil"/>
              <w:right w:val="nil"/>
            </w:tcBorders>
            <w:shd w:val="clear" w:color="auto" w:fill="FFFFFF"/>
            <w:vAlign w:val="center"/>
          </w:tcPr>
          <w:p w14:paraId="295B9633">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合格</w:t>
            </w:r>
          </w:p>
        </w:tc>
        <w:tc>
          <w:tcPr>
            <w:tcW w:w="1163" w:type="dxa"/>
            <w:tcBorders>
              <w:top w:val="single" w:sz="4" w:space="0" w:color="000000"/>
              <w:left w:val="nil"/>
              <w:bottom w:val="nil"/>
              <w:right w:val="nil"/>
            </w:tcBorders>
            <w:shd w:val="clear" w:color="auto" w:fill="FFFFFF"/>
            <w:vAlign w:val="center"/>
          </w:tcPr>
          <w:p w14:paraId="717B25B0">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452</w:t>
            </w:r>
          </w:p>
        </w:tc>
        <w:tc>
          <w:tcPr>
            <w:tcW w:w="1453" w:type="dxa"/>
            <w:tcBorders>
              <w:top w:val="single" w:sz="4" w:space="0" w:color="000000"/>
              <w:left w:val="nil"/>
              <w:bottom w:val="nil"/>
              <w:right w:val="nil"/>
            </w:tcBorders>
            <w:shd w:val="clear" w:color="auto" w:fill="FFFFFF"/>
            <w:vAlign w:val="center"/>
          </w:tcPr>
          <w:p w14:paraId="721B33BA">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2</w:t>
            </w:r>
          </w:p>
        </w:tc>
        <w:tc>
          <w:tcPr>
            <w:tcW w:w="2054" w:type="dxa"/>
            <w:tcBorders>
              <w:top w:val="single" w:sz="4" w:space="0" w:color="000000"/>
              <w:left w:val="nil"/>
              <w:bottom w:val="nil"/>
              <w:right w:val="nil"/>
            </w:tcBorders>
            <w:shd w:val="clear" w:color="auto" w:fill="FFFFFF"/>
            <w:vAlign w:val="center"/>
          </w:tcPr>
          <w:p w14:paraId="1586BBAF">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454</w:t>
            </w:r>
          </w:p>
        </w:tc>
      </w:tr>
      <w:tr w14:paraId="3F13E60A">
        <w:tblPrEx>
          <w:tblW w:w="6195" w:type="dxa"/>
          <w:jc w:val="center"/>
          <w:shd w:val="clear" w:color="auto" w:fill="auto"/>
          <w:tblCellMar>
            <w:top w:w="0" w:type="dxa"/>
            <w:left w:w="108" w:type="dxa"/>
            <w:bottom w:w="0" w:type="dxa"/>
            <w:right w:w="108" w:type="dxa"/>
          </w:tblCellMar>
        </w:tblPrEx>
        <w:trPr>
          <w:trHeight w:val="600"/>
          <w:jc w:val="center"/>
        </w:trPr>
        <w:tc>
          <w:tcPr>
            <w:tcW w:w="1525" w:type="dxa"/>
            <w:tcBorders>
              <w:top w:val="nil"/>
              <w:left w:val="nil"/>
              <w:bottom w:val="nil"/>
              <w:right w:val="nil"/>
            </w:tcBorders>
            <w:shd w:val="clear" w:color="auto" w:fill="FFFFFF"/>
            <w:vAlign w:val="center"/>
          </w:tcPr>
          <w:p w14:paraId="4176C53D">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不合格</w:t>
            </w:r>
          </w:p>
        </w:tc>
        <w:tc>
          <w:tcPr>
            <w:tcW w:w="1163" w:type="dxa"/>
            <w:tcBorders>
              <w:top w:val="nil"/>
              <w:left w:val="nil"/>
              <w:bottom w:val="nil"/>
              <w:right w:val="nil"/>
            </w:tcBorders>
            <w:shd w:val="clear" w:color="auto" w:fill="FFFFFF"/>
            <w:vAlign w:val="center"/>
          </w:tcPr>
          <w:p w14:paraId="5EF96117">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13</w:t>
            </w:r>
          </w:p>
        </w:tc>
        <w:tc>
          <w:tcPr>
            <w:tcW w:w="1453" w:type="dxa"/>
            <w:tcBorders>
              <w:top w:val="nil"/>
              <w:left w:val="nil"/>
              <w:bottom w:val="nil"/>
              <w:right w:val="nil"/>
            </w:tcBorders>
            <w:shd w:val="clear" w:color="auto" w:fill="FFFFFF"/>
            <w:vAlign w:val="center"/>
          </w:tcPr>
          <w:p w14:paraId="33F89059">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13</w:t>
            </w:r>
          </w:p>
        </w:tc>
        <w:tc>
          <w:tcPr>
            <w:tcW w:w="2054" w:type="dxa"/>
            <w:tcBorders>
              <w:top w:val="nil"/>
              <w:left w:val="nil"/>
              <w:bottom w:val="nil"/>
              <w:right w:val="nil"/>
            </w:tcBorders>
            <w:shd w:val="clear" w:color="auto" w:fill="FFFFFF"/>
            <w:vAlign w:val="center"/>
          </w:tcPr>
          <w:p w14:paraId="6FA3DD84">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26</w:t>
            </w:r>
          </w:p>
        </w:tc>
      </w:tr>
      <w:tr w14:paraId="1B597D0D">
        <w:tblPrEx>
          <w:tblW w:w="6195" w:type="dxa"/>
          <w:jc w:val="center"/>
          <w:shd w:val="clear" w:color="auto" w:fill="auto"/>
          <w:tblCellMar>
            <w:top w:w="0" w:type="dxa"/>
            <w:left w:w="108" w:type="dxa"/>
            <w:bottom w:w="0" w:type="dxa"/>
            <w:right w:w="108" w:type="dxa"/>
          </w:tblCellMar>
        </w:tblPrEx>
        <w:trPr>
          <w:trHeight w:val="600"/>
          <w:jc w:val="center"/>
        </w:trPr>
        <w:tc>
          <w:tcPr>
            <w:tcW w:w="1525" w:type="dxa"/>
            <w:tcBorders>
              <w:top w:val="nil"/>
              <w:left w:val="nil"/>
              <w:bottom w:val="single" w:sz="12" w:space="0" w:color="000000"/>
              <w:right w:val="nil"/>
            </w:tcBorders>
            <w:shd w:val="clear" w:color="auto" w:fill="FFFFFF"/>
            <w:vAlign w:val="center"/>
          </w:tcPr>
          <w:p w14:paraId="53DDD167">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合计</w:t>
            </w:r>
          </w:p>
        </w:tc>
        <w:tc>
          <w:tcPr>
            <w:tcW w:w="1163" w:type="dxa"/>
            <w:tcBorders>
              <w:top w:val="nil"/>
              <w:left w:val="nil"/>
              <w:bottom w:val="single" w:sz="12" w:space="0" w:color="000000"/>
              <w:right w:val="nil"/>
            </w:tcBorders>
            <w:shd w:val="clear" w:color="auto" w:fill="FFFFFF"/>
            <w:vAlign w:val="center"/>
          </w:tcPr>
          <w:p w14:paraId="3188025D">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465</w:t>
            </w:r>
          </w:p>
        </w:tc>
        <w:tc>
          <w:tcPr>
            <w:tcW w:w="1453" w:type="dxa"/>
            <w:tcBorders>
              <w:top w:val="nil"/>
              <w:left w:val="nil"/>
              <w:bottom w:val="single" w:sz="12" w:space="0" w:color="000000"/>
              <w:right w:val="nil"/>
            </w:tcBorders>
            <w:shd w:val="clear" w:color="auto" w:fill="FFFFFF"/>
            <w:vAlign w:val="center"/>
          </w:tcPr>
          <w:p w14:paraId="244D8F8E">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15</w:t>
            </w:r>
          </w:p>
        </w:tc>
        <w:tc>
          <w:tcPr>
            <w:tcW w:w="2054" w:type="dxa"/>
            <w:tcBorders>
              <w:top w:val="nil"/>
              <w:left w:val="nil"/>
              <w:bottom w:val="single" w:sz="12" w:space="0" w:color="000000"/>
              <w:right w:val="nil"/>
            </w:tcBorders>
            <w:shd w:val="clear" w:color="auto" w:fill="FFFFFF"/>
            <w:vAlign w:val="center"/>
          </w:tcPr>
          <w:p w14:paraId="27D1E68F">
            <w:pPr>
              <w:keepNext w:val="0"/>
              <w:keepLines w:val="0"/>
              <w:widowControl/>
              <w:suppressLineNumbers w:val="0"/>
              <w:jc w:val="center"/>
              <w:textAlignment w:val="center"/>
              <w:rPr>
                <w:rFonts w:ascii="宋体" w:eastAsia="宋体" w:hAnsi="宋体" w:cs="宋体" w:hint="eastAsia"/>
                <w:b w:val="0"/>
                <w:i w:val="0"/>
                <w:iCs w:val="0"/>
                <w:color w:val="000000"/>
                <w:sz w:val="21"/>
                <w:szCs w:val="21"/>
                <w:u w:val="none"/>
              </w:rPr>
            </w:pPr>
            <w:r>
              <w:rPr>
                <w:rFonts w:ascii="宋体" w:eastAsia="宋体" w:hAnsi="宋体" w:cs="宋体" w:hint="eastAsia"/>
                <w:b w:val="0"/>
                <w:i w:val="0"/>
                <w:iCs w:val="0"/>
                <w:color w:val="000000"/>
                <w:kern w:val="0"/>
                <w:sz w:val="21"/>
                <w:szCs w:val="21"/>
                <w:u w:val="none"/>
                <w:bdr w:val="none" w:sz="0" w:space="0" w:color="auto"/>
                <w:lang w:val="en-US" w:eastAsia="zh-CN" w:bidi="ar"/>
              </w:rPr>
              <w:t>480</w:t>
            </w:r>
          </w:p>
        </w:tc>
      </w:tr>
    </w:tbl>
    <w:p w14:paraId="2F4679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2.3两种快速检测方法耗时比较</w:t>
      </w:r>
    </w:p>
    <w:p w14:paraId="6C80B7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单件器械平均检测时间使用目测法为（0.68±0.15）min，ATP生物荧光检测法为（0.32±0.08）min，ATP法检测时间明显短于目测法，有统计学意义（t=46.38</w:t>
      </w:r>
      <w:r>
        <w:rPr>
          <w:rFonts w:ascii="宋体" w:eastAsia="宋体" w:hAnsi="宋体" w:cs="宋体" w:hint="eastAsia"/>
          <w:sz w:val="21"/>
          <w:szCs w:val="21"/>
          <w:lang w:eastAsia="zh-CN"/>
        </w:rPr>
        <w:t>，</w:t>
      </w:r>
      <w:r>
        <w:rPr>
          <w:rFonts w:ascii="宋体" w:eastAsia="宋体" w:hAnsi="宋体" w:cs="宋体" w:hint="eastAsia"/>
          <w:sz w:val="21"/>
          <w:szCs w:val="21"/>
        </w:rPr>
        <w:t>P＜0.001）。见表3。细菌培养法培养48h，时效性不能和上面两种方法相比。</w:t>
      </w:r>
    </w:p>
    <w:p w14:paraId="4C1FA4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sz w:val="21"/>
          <w:szCs w:val="21"/>
        </w:rPr>
      </w:pPr>
      <w:r>
        <w:rPr>
          <w:rFonts w:ascii="宋体" w:eastAsia="宋体" w:hAnsi="宋体" w:cs="宋体" w:hint="eastAsia"/>
          <w:sz w:val="21"/>
          <w:szCs w:val="21"/>
        </w:rPr>
        <w:t>表3目测法与ATP法单件器械检测耗时比较（x̄±s，min）</w:t>
      </w:r>
    </w:p>
    <w:tbl>
      <w:tblPr>
        <w:tblW w:w="51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
      <w:tblGrid>
        <w:gridCol w:w="2255"/>
        <w:gridCol w:w="1442"/>
        <w:gridCol w:w="1455"/>
      </w:tblGrid>
      <w:tr w14:paraId="01ED775E">
        <w:tblPrEx>
          <w:tblW w:w="51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0" w:type="dxa"/>
            <w:left w:w="108" w:type="dxa"/>
            <w:bottom w:w="0" w:type="dxa"/>
            <w:right w:w="108" w:type="dxa"/>
          </w:tblCellMar>
        </w:tblPrEx>
        <w:trPr>
          <w:trHeight w:val="600"/>
          <w:jc w:val="center"/>
        </w:trPr>
        <w:tc>
          <w:tcPr>
            <w:tcW w:w="2255" w:type="dxa"/>
            <w:tcBorders>
              <w:top w:val="single" w:sz="12" w:space="0" w:color="000000"/>
              <w:left w:val="nil"/>
              <w:bottom w:val="single" w:sz="4" w:space="0" w:color="000000"/>
              <w:right w:val="nil"/>
              <w:tl2br w:val="nil"/>
            </w:tcBorders>
            <w:shd w:val="clear" w:color="auto" w:fill="FFFFFF"/>
            <w:vAlign w:val="center"/>
          </w:tcPr>
          <w:p w14:paraId="2C79C4EF">
            <w:pPr>
              <w:rPr>
                <w:rFonts w:hint="eastAsia"/>
              </w:rPr>
            </w:pPr>
            <w:r>
              <w:rPr>
                <w:rFonts w:hint="eastAsia"/>
                <w:lang w:val="en-US" w:eastAsia="zh-CN"/>
              </w:rPr>
              <w:t>方法</w:t>
            </w:r>
          </w:p>
        </w:tc>
        <w:tc>
          <w:tcPr>
            <w:tcW w:w="1442" w:type="dxa"/>
            <w:tcBorders>
              <w:top w:val="single" w:sz="12" w:space="0" w:color="000000"/>
              <w:left w:val="nil"/>
              <w:bottom w:val="single" w:sz="4" w:space="0" w:color="000000"/>
              <w:right w:val="nil"/>
            </w:tcBorders>
            <w:shd w:val="clear" w:color="auto" w:fill="FFFFFF"/>
            <w:vAlign w:val="center"/>
          </w:tcPr>
          <w:p w14:paraId="0428D4E8">
            <w:pPr>
              <w:rPr>
                <w:rFonts w:hint="eastAsia"/>
              </w:rPr>
            </w:pPr>
            <w:r>
              <w:rPr>
                <w:rFonts w:hint="eastAsia"/>
                <w:lang w:val="en-US" w:eastAsia="zh-CN"/>
              </w:rPr>
              <w:t>n</w:t>
            </w:r>
          </w:p>
        </w:tc>
        <w:tc>
          <w:tcPr>
            <w:tcW w:w="1455" w:type="dxa"/>
            <w:tcBorders>
              <w:top w:val="single" w:sz="12" w:space="0" w:color="000000"/>
              <w:left w:val="nil"/>
              <w:bottom w:val="single" w:sz="4" w:space="0" w:color="000000"/>
              <w:right w:val="nil"/>
            </w:tcBorders>
            <w:shd w:val="clear" w:color="auto" w:fill="FFFFFF"/>
            <w:vAlign w:val="center"/>
          </w:tcPr>
          <w:p w14:paraId="0EF23F6E">
            <w:pPr>
              <w:rPr>
                <w:rFonts w:hint="eastAsia"/>
              </w:rPr>
            </w:pPr>
            <w:r>
              <w:rPr>
                <w:rFonts w:hint="eastAsia"/>
                <w:lang w:val="en-US" w:eastAsia="zh-CN"/>
              </w:rPr>
              <w:t>检测耗时</w:t>
            </w:r>
          </w:p>
        </w:tc>
      </w:tr>
      <w:tr w14:paraId="5E6AD092">
        <w:tblPrEx>
          <w:tblW w:w="5152" w:type="dxa"/>
          <w:jc w:val="center"/>
          <w:shd w:val="clear" w:color="auto" w:fill="auto"/>
          <w:tblCellMar>
            <w:top w:w="0" w:type="dxa"/>
            <w:left w:w="108" w:type="dxa"/>
            <w:bottom w:w="0" w:type="dxa"/>
            <w:right w:w="108" w:type="dxa"/>
          </w:tblCellMar>
        </w:tblPrEx>
        <w:trPr>
          <w:trHeight w:val="600"/>
          <w:jc w:val="center"/>
        </w:trPr>
        <w:tc>
          <w:tcPr>
            <w:tcW w:w="2255" w:type="dxa"/>
            <w:tcBorders>
              <w:top w:val="single" w:sz="4" w:space="0" w:color="000000"/>
              <w:left w:val="nil"/>
              <w:bottom w:val="nil"/>
              <w:right w:val="nil"/>
            </w:tcBorders>
            <w:shd w:val="clear" w:color="auto" w:fill="FFFFFF"/>
            <w:vAlign w:val="center"/>
          </w:tcPr>
          <w:p w14:paraId="0FDDF015">
            <w:pPr>
              <w:rPr>
                <w:rFonts w:hint="eastAsia"/>
              </w:rPr>
            </w:pPr>
            <w:r>
              <w:rPr>
                <w:rFonts w:hint="eastAsia"/>
                <w:lang w:val="en-US" w:eastAsia="zh-CN"/>
              </w:rPr>
              <w:t>目测法</w:t>
            </w:r>
          </w:p>
        </w:tc>
        <w:tc>
          <w:tcPr>
            <w:tcW w:w="1442" w:type="dxa"/>
            <w:tcBorders>
              <w:top w:val="single" w:sz="4" w:space="0" w:color="000000"/>
              <w:left w:val="nil"/>
              <w:bottom w:val="nil"/>
              <w:right w:val="nil"/>
            </w:tcBorders>
            <w:shd w:val="clear" w:color="auto" w:fill="FFFFFF"/>
            <w:vAlign w:val="center"/>
          </w:tcPr>
          <w:p w14:paraId="40B9D8E9">
            <w:pPr>
              <w:rPr>
                <w:rFonts w:hint="eastAsia"/>
              </w:rPr>
            </w:pPr>
            <w:r>
              <w:rPr>
                <w:rFonts w:hint="eastAsia"/>
                <w:lang w:val="en-US" w:eastAsia="zh-CN"/>
              </w:rPr>
              <w:t>480</w:t>
            </w:r>
          </w:p>
        </w:tc>
        <w:tc>
          <w:tcPr>
            <w:tcW w:w="1455" w:type="dxa"/>
            <w:tcBorders>
              <w:top w:val="single" w:sz="4" w:space="0" w:color="000000"/>
              <w:left w:val="nil"/>
              <w:bottom w:val="nil"/>
              <w:right w:val="nil"/>
            </w:tcBorders>
            <w:shd w:val="clear" w:color="auto" w:fill="FFFFFF"/>
            <w:vAlign w:val="center"/>
          </w:tcPr>
          <w:p w14:paraId="16060564">
            <w:pPr>
              <w:rPr>
                <w:rFonts w:hint="eastAsia"/>
              </w:rPr>
            </w:pPr>
            <w:r>
              <w:rPr>
                <w:rFonts w:hint="eastAsia"/>
                <w:lang w:val="en-US" w:eastAsia="zh-CN"/>
              </w:rPr>
              <w:t>0.68±0.15</w:t>
            </w:r>
          </w:p>
        </w:tc>
      </w:tr>
      <w:tr w14:paraId="29DCFC5C">
        <w:tblPrEx>
          <w:tblW w:w="5152" w:type="dxa"/>
          <w:jc w:val="center"/>
          <w:shd w:val="clear" w:color="auto" w:fill="auto"/>
          <w:tblCellMar>
            <w:top w:w="0" w:type="dxa"/>
            <w:left w:w="108" w:type="dxa"/>
            <w:bottom w:w="0" w:type="dxa"/>
            <w:right w:w="108" w:type="dxa"/>
          </w:tblCellMar>
        </w:tblPrEx>
        <w:trPr>
          <w:trHeight w:val="600"/>
          <w:jc w:val="center"/>
        </w:trPr>
        <w:tc>
          <w:tcPr>
            <w:tcW w:w="2255" w:type="dxa"/>
            <w:tcBorders>
              <w:top w:val="nil"/>
              <w:left w:val="nil"/>
              <w:bottom w:val="single" w:sz="12" w:space="0" w:color="000000"/>
              <w:right w:val="nil"/>
            </w:tcBorders>
            <w:shd w:val="clear" w:color="auto" w:fill="FFFFFF"/>
            <w:vAlign w:val="center"/>
          </w:tcPr>
          <w:p w14:paraId="3E1BAA37">
            <w:pPr>
              <w:rPr>
                <w:rFonts w:hint="eastAsia"/>
              </w:rPr>
            </w:pPr>
            <w:r>
              <w:rPr>
                <w:rFonts w:hint="eastAsia"/>
                <w:lang w:val="en-US" w:eastAsia="zh-CN"/>
              </w:rPr>
              <w:t>ATP生物荧光检测法</w:t>
            </w:r>
          </w:p>
        </w:tc>
        <w:tc>
          <w:tcPr>
            <w:tcW w:w="1442" w:type="dxa"/>
            <w:tcBorders>
              <w:top w:val="nil"/>
              <w:left w:val="nil"/>
              <w:bottom w:val="single" w:sz="12" w:space="0" w:color="000000"/>
              <w:right w:val="nil"/>
            </w:tcBorders>
            <w:shd w:val="clear" w:color="auto" w:fill="FFFFFF"/>
            <w:vAlign w:val="center"/>
          </w:tcPr>
          <w:p w14:paraId="60389A76">
            <w:pPr>
              <w:rPr>
                <w:rFonts w:hint="eastAsia"/>
              </w:rPr>
            </w:pPr>
            <w:r>
              <w:rPr>
                <w:rFonts w:hint="eastAsia"/>
                <w:lang w:val="en-US" w:eastAsia="zh-CN"/>
              </w:rPr>
              <w:t>480</w:t>
            </w:r>
          </w:p>
        </w:tc>
        <w:tc>
          <w:tcPr>
            <w:tcW w:w="1455" w:type="dxa"/>
            <w:tcBorders>
              <w:top w:val="nil"/>
              <w:left w:val="nil"/>
              <w:bottom w:val="single" w:sz="12" w:space="0" w:color="000000"/>
              <w:right w:val="nil"/>
            </w:tcBorders>
            <w:shd w:val="clear" w:color="auto" w:fill="FFFFFF"/>
            <w:vAlign w:val="center"/>
          </w:tcPr>
          <w:p w14:paraId="5E7D846B">
            <w:pPr>
              <w:rPr>
                <w:rFonts w:hint="eastAsia"/>
              </w:rPr>
            </w:pPr>
            <w:r>
              <w:rPr>
                <w:rFonts w:hint="eastAsia"/>
                <w:lang w:val="en-US" w:eastAsia="zh-CN"/>
              </w:rPr>
              <w:t>0.32±0.08</w:t>
            </w:r>
          </w:p>
        </w:tc>
      </w:tr>
    </w:tbl>
    <w:p w14:paraId="20F704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3讨论</w:t>
      </w:r>
    </w:p>
    <w:p w14:paraId="093592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将ATP生物荧光检测法应用到消毒供应中心器械清洗质量检测中，并与目测法、细菌培养法进行比较，目的是回答两个现实问题，即ATP法是否可以准确反映器械清洗的质量，是否可以胜任大批量、高周转器械的即时质控。得出肯定的回答。</w:t>
      </w:r>
    </w:p>
    <w:p w14:paraId="3296FE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ATP法的合格率为94.58%，比目测法高很多，但是和细菌培养法没有统计学上的显著性。现象有其内在的机制。目测法依靠人的肉眼观察，管腔深处、关节缝隙、齿槽内壁上微小的残留物很容易被漏掉，主观判断由于人的不同而不同，ATP法利用检测活细胞及有机物中ATP含量，把残留物的量用RLU这个客观的数值表示出来，灵敏度高、抗主观干扰，可以检测出肉眼看不到的污染。合格率的差别正好说明了目测法对于隐蔽部位的漏检。也告诫我们，如果只用目测法做清洗的质控手段，那么漏检的危险很大，客观化的检测手段是必须的。</w:t>
      </w:r>
    </w:p>
    <w:p w14:paraId="335DA7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一致性分析可以更好的证明ATP法是正确的。Kappa值为0.944，说明ATP法与金标准培养法的判定结果非常吻合，可以较真实的反映器械清洗情况。ATP法检测时，13件器械出现ATP法阳性、培养法阴性结果。究其原因，ATP法检测的是包含已死微生物残渣、有机物的广义ATP，培养法只能反映活菌的数量，二者检测的对象并不完全一致，因此ATP法对个别样本会有轻微的高估。但是以“零残留”为目标的清洗质控中，从严判别反而有利于控制感控，ATP法阳性复核时只要结合目测和培养一起判断就可以，不会降低它的筛查价值。</w:t>
      </w:r>
    </w:p>
    <w:p w14:paraId="5CA6F7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从时效性来说ATP法单件耗时少于0.32分钟，比目测法快很多，细菌培养法需要48小时才能反馈。消毒供应中心每天清洗的器械数量大，器械周转困难，培养法的“事后”反应先天不足，不能达到即时质控的要求。ATP法即时反馈使清洗质量异常可以被第一时间发现并返工，由“事后检验”转变为“过程控制”，保证器械供应的安全，提高CSSD整体运行效率，对减少器械有关医院感染有重要的作用。</w:t>
      </w:r>
    </w:p>
    <w:p w14:paraId="41C8C0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ATP法的结果用数值表示，可以进行纵向追踪和横向比较，可以建立清洗质量数据库，给各种器械清洗效果的横向比较提供参考，也可以和绩效考核、流程改进相结合，促进清洗质量控制从经验管理向数据化、精细化管理转变。把ATP法当作日常快速检测的手段，以培养法做定期抽检的手段来使用，两者互相补充可以创建更加科学的器械清洗质量监测体系。</w:t>
      </w:r>
    </w:p>
    <w:p w14:paraId="4B8207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研究也存在着不足之处。第一，样本都是从一个中心、一段时间内的样本中抽取的，器械类型以及污染情况都有所限制，结论的推广要慎重考虑；第二，ATP法合格的阈值（RLU≤100）是根据厂家建议设置的，不同的仪器、不同的器械部位最好的阈值还需要大量的样本进行验证；第三，研究没有对清洗后放置时间、器械材质不同等混杂因素做分层的控制。扩大样本量，细化器械分类，开展多中心前瞻性研究来改善检测阈值以及应用程序。</w:t>
      </w:r>
    </w:p>
    <w:p w14:paraId="4D7E1D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sz w:val="21"/>
          <w:szCs w:val="21"/>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4D35F93"/>
    <w:rsid w:val="62EB6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197</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2026-11-01T23:04:16Z</dcterms:created>
  <dcterms:modified xsi:type="dcterms:W3CDTF">2026-11-02T02:21:54Z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FEC1032B76524F68889528F28A80BA28_12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