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9FFE923">
      <w:pPr>
        <w:spacing w:line="360" w:lineRule="auto"/>
        <w:ind w:firstLine="420" w:firstLineChars="200"/>
        <w:rPr>
          <w:rFonts w:hint="eastAsia"/>
        </w:rPr>
      </w:pPr>
      <w:r>
        <w:rPr>
          <w:rFonts w:hint="eastAsia"/>
        </w:rPr>
        <w:t>1.严守水文资源底线，建立分区定额配水体系</w:t>
      </w:r>
    </w:p>
    <w:p w14:paraId="2E525720">
      <w:pPr>
        <w:spacing w:line="360" w:lineRule="auto"/>
        <w:ind w:firstLine="420" w:firstLineChars="200"/>
        <w:rPr>
          <w:rFonts w:hint="eastAsia"/>
        </w:rPr>
      </w:pPr>
      <w:r>
        <w:rPr>
          <w:rFonts w:hint="eastAsia"/>
        </w:rPr>
        <w:t>区域水文监测站点长期对降水、河道来水、地下水埋深、生态补水进行监测，技术人员通过各类水文年型的可供水量来确定灌区各个单元的用水上限，把水文承载能力转化为可以实施的配水边界。工作人员不会再按照一个统一的灌溉定额将水量平均分配给所有地块，而是根据片</w:t>
      </w:r>
      <w:r>
        <w:rPr>
          <w:rFonts w:hint="eastAsia"/>
          <w:lang w:val="en-US" w:eastAsia="zh-CN"/>
        </w:rPr>
        <w:t>区土</w:t>
      </w:r>
      <w:r>
        <w:rPr>
          <w:rFonts w:hint="eastAsia"/>
        </w:rPr>
        <w:t>壤质地、地下水开采限制等级、已有的节水设施覆盖率将灌区分成若干个片区，每一个片区单独计算灌溉用水量，水量数值被存入灌区用水台账中，台账上的数据会按照水文站最新的监测数据进行定期的更新。分区划分的时候也跟地块确权情况同步，地块内种植主体以及往年实际用水量都被包含在定额计算的参照之内，定额的计算结果不会直接通过公式得出。</w:t>
      </w:r>
    </w:p>
    <w:p w14:paraId="4352B024">
      <w:pPr>
        <w:spacing w:line="360" w:lineRule="auto"/>
        <w:ind w:firstLine="420" w:firstLineChars="200"/>
        <w:rPr>
          <w:rFonts w:hint="eastAsia"/>
        </w:rPr>
      </w:pPr>
      <w:r>
        <w:rPr>
          <w:rFonts w:hint="eastAsia"/>
        </w:rPr>
        <w:t>配水系统运行期间调度人员将年度总定额分配到各个作物的生育时期上，关键需水期优先保证基本用水，在非关键时段根据水文条件动态减少配水量。灌区调度班组每月核对分区用水消耗数据，当某个片区用水量达到预先设定的上限时，系统会发出预警信息，现场管护人员马上联系种植户修改灌溉计划。分区定额结果直接对应地表水和地下水取用台账，调度人员同时对两类水源的取水量进行统计，防止一种水源出现超指标开采的情况。此套配水方案将水文约束条件融入到日常的灌溉调度中，定额数值随着水文情况的变化实时调整，用水指标不再成为灌区配水的主要因素，分区管控模式缩小区域内部水文条件差异引起的配水偏差，水量分配结果更能符合地块的实际水资源承载能力。</w:t>
      </w:r>
    </w:p>
    <w:p w14:paraId="14672E35">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C74269"/>
    <w:rsid w:val="3DC742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2026-11-02T02:15:00Z</dcterms:created>
  <dcterms:modified xsi:type="dcterms:W3CDTF">2026-11-02T02:16:00Z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0D36F334C0F445E4B7960D121A40D668_11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