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0DE72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生态环境损害鉴定评估中基线、对照点与环境质量标准取舍的差异分析</w:t>
      </w:r>
    </w:p>
    <w:p w14:paraId="01A113B4">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摘要：</w:t>
      </w:r>
      <w:r>
        <w:rPr>
          <w:rFonts w:asciiTheme="minorEastAsia" w:eastAsiaTheme="minorEastAsia" w:hAnsiTheme="minorEastAsia" w:cstheme="minorEastAsia" w:hint="eastAsia"/>
          <w:b w:val="0"/>
          <w:color w:val="000000"/>
          <w:sz w:val="21"/>
          <w:szCs w:val="21"/>
        </w:rPr>
        <w:t>确定生态环境损害的前提就是建立一个与损害发生前基线状态一样的环境状态，但是鉴定评估实践中普遍存在着将对照点监测值或者环境质量标准限值当作基线的做法，从而造成损害范围、损害程度以及量化结果之间存在系统性的误差。本文就概念内涵、确定的依据、空间尺度、不确定性以及法律功能这五个方</w:t>
      </w:r>
      <w:r>
        <w:rPr>
          <w:rFonts w:asciiTheme="minorEastAsia" w:eastAsiaTheme="minorEastAsia" w:hAnsiTheme="minorEastAsia" w:cstheme="minorEastAsia" w:hint="eastAsia"/>
          <w:b w:val="0"/>
          <w:color w:val="000000"/>
          <w:sz w:val="21"/>
          <w:szCs w:val="21"/>
          <w:lang w:eastAsia="zh-CN"/>
        </w:rPr>
        <w:t>面</w:t>
      </w:r>
      <w:r>
        <w:rPr>
          <w:rFonts w:asciiTheme="minorEastAsia" w:eastAsiaTheme="minorEastAsia" w:hAnsiTheme="minorEastAsia" w:cstheme="minorEastAsia" w:hint="eastAsia"/>
          <w:b w:val="0"/>
          <w:color w:val="000000"/>
          <w:sz w:val="21"/>
          <w:szCs w:val="21"/>
          <w:lang w:val="en-US" w:eastAsia="zh-CN"/>
        </w:rPr>
        <w:t>来比</w:t>
      </w:r>
      <w:r>
        <w:rPr>
          <w:rFonts w:asciiTheme="minorEastAsia" w:eastAsiaTheme="minorEastAsia" w:hAnsiTheme="minorEastAsia" w:cstheme="minorEastAsia" w:hint="eastAsia"/>
          <w:b w:val="0"/>
          <w:color w:val="000000"/>
          <w:sz w:val="21"/>
          <w:szCs w:val="21"/>
        </w:rPr>
        <w:t>较三者，找出三者性质不同、不能互相替代的三者，尤其在地质背景值高的地区（岩溶区土壤镉、磷石膏区氟和硫酸盐）质量标准经常远离本底，直接使用就会造成损害高估或者低估。因此提出了“基线优先、对照点校正、质量标准兜底”的取舍标准，在没有历史监测、遥感以及生产记录等直接证据的情况下，重建基线可以考虑使用模型反演（沉积物柱状样、污染扩散模型）结合对照点校正的方法进行推断；如果资料缺乏的话，那么就要通过地形地貌、土壤类型、水文条件、生态类型和历史扰动的可比性来检验对照点，再用指示物、元素比值或者同位素指纹来证明其独立性，最后再做统计校正之后才能使用；环境质量标准只能用作损害风险筛查、启动评估的标准和修复目标值的下限，不能直接作为基线。根据基线无法重建、对照点缺失或者受污染、质量标准高于本底、标准宽于本底这五种典型情况分别给出类比区域法、二次对照或者比值剥离、用本底作为基线并保证修复目标不低于标准、用本底减去实际值来量化这三种方式，并以某磷石膏堆场周边土壤及地下水（氟、硫酸盐、总磷）损害鉴定为例，说明高背景值下三种取值方式所得到的量化结果存在较大差别。可以给同类案件基准选择论证、鉴定意见是否可以采信以及技术指南的完善提供借鉴。</w:t>
      </w:r>
    </w:p>
    <w:p w14:paraId="01BC127B">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关键词：生态环境损害；基线；对照点；环境质量标准；高背景值；鉴定评估</w:t>
      </w:r>
    </w:p>
    <w:p w14:paraId="2F167E39">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引言</w:t>
      </w:r>
    </w:p>
    <w:p w14:paraId="0FDCCB42">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生态环境损害鉴定评估的第一步就是建立损害发生之前生态要素应该存在的基线状态，只有确定了基线，损害的“有无”“范围”和“程度”才有量化的参照。但是鉴定实践当中，把对照点监测值或者环境质量标准的限值当作基线的做法却并不少见，三种取值方式各有主张，同一案件不同鉴定意见的定量结果也互相冲突，损害的认定范围、受损程度以及赔偿金额都随之产生系统性的错误。乱象背后的原因，就是对基线、对照点、环境质量标准这三种概念、功能以及确定依据没有做出明确的区分，把属于证据的对照点当作事实对待，把属于规范的行政阈值当作客观的本底，操作上互相取代，概念上互相混淆</w:t>
      </w:r>
      <w:r>
        <w:rPr>
          <w:rFonts w:asciiTheme="minorEastAsia" w:eastAsiaTheme="minorEastAsia" w:hAnsiTheme="minorEastAsia" w:cstheme="minorEastAsia" w:hint="eastAsia"/>
          <w:b w:val="0"/>
          <w:color w:val="000000"/>
          <w:sz w:val="21"/>
          <w:szCs w:val="21"/>
          <w:vertAlign w:val="superscript"/>
          <w:lang w:val="en-US" w:eastAsia="zh-CN"/>
        </w:rPr>
        <w:t>[1]</w:t>
      </w:r>
      <w:r>
        <w:rPr>
          <w:rFonts w:asciiTheme="minorEastAsia" w:eastAsiaTheme="minorEastAsia" w:hAnsiTheme="minorEastAsia" w:cstheme="minorEastAsia" w:hint="eastAsia"/>
          <w:b w:val="0"/>
          <w:color w:val="000000"/>
          <w:sz w:val="21"/>
          <w:szCs w:val="21"/>
        </w:rPr>
        <w:t>。因此从理论上讲，明确三者本质差别并制定出一套可以遵循的取舍规则，对提高鉴定意见的科学性、可采性，保障生态环境损害赔偿制度的公平落地有着十分重要的意义。</w:t>
      </w:r>
    </w:p>
    <w:p w14:paraId="450979D4">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lang w:val="en-US" w:eastAsia="zh-CN"/>
        </w:rPr>
        <w:t>一</w:t>
      </w:r>
      <w:r>
        <w:rPr>
          <w:rFonts w:asciiTheme="minorEastAsia" w:eastAsiaTheme="minorEastAsia" w:hAnsiTheme="minorEastAsia" w:cstheme="minorEastAsia" w:hint="eastAsia"/>
          <w:b/>
          <w:color w:val="000000"/>
          <w:sz w:val="21"/>
          <w:szCs w:val="21"/>
        </w:rPr>
        <w:t>、三个概念的内涵与功能定位</w:t>
      </w:r>
    </w:p>
    <w:p w14:paraId="3D175397">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基线指的是某个特定时间、空间范围内生态要素没有受到本次污染影响时本来应该具有的状态，是具有个案性、动态性和可重建性的客观事实基础，在原则上应当依靠历史监测、遥感影像、生产记录等直接证据来重建，因此具有很强的时间指向性</w:t>
      </w:r>
      <w:r>
        <w:rPr>
          <w:rFonts w:asciiTheme="minorEastAsia" w:eastAsiaTheme="minorEastAsia" w:hAnsiTheme="minorEastAsia" w:cstheme="minorEastAsia" w:hint="eastAsia"/>
          <w:b w:val="0"/>
          <w:color w:val="000000"/>
          <w:sz w:val="21"/>
          <w:szCs w:val="21"/>
          <w:vertAlign w:val="superscript"/>
          <w:lang w:val="en-US" w:eastAsia="zh-CN"/>
        </w:rPr>
        <w:t>[2]</w:t>
      </w:r>
      <w:r>
        <w:rPr>
          <w:rFonts w:asciiTheme="minorEastAsia" w:eastAsiaTheme="minorEastAsia" w:hAnsiTheme="minorEastAsia" w:cstheme="minorEastAsia" w:hint="eastAsia"/>
          <w:b w:val="0"/>
          <w:color w:val="000000"/>
          <w:sz w:val="21"/>
          <w:szCs w:val="21"/>
        </w:rPr>
        <w:t>。对照点是用空间代替时间，选取与被损害区域自然条件相似但未受到本次污染影响的区域实测值作为参照，本质上是对基线的推定证据，具有空间替代性和间接推定性，其可信度很大程度上受到空间异质性、污染迁移以及历史干扰的影响，只有通过可比性检验和统计校正之后才能被采纳。环境质量标准就是行政主体对人群健康和生态保护目标所设定的技术标准，是“可接受水平”的技术标准而不是“本底水平”的技术标准，是行政上判断是否合法的尺度，是普适的、保守的。可知三者在性质上分属于事实、证据和规范这三个不同的层次，基线回答的是本应如何，对照点回答的是参照几何，质量标准回答的是是否合规，功能上不能互相取代</w:t>
      </w:r>
      <w:r>
        <w:rPr>
          <w:rFonts w:asciiTheme="minorEastAsia" w:eastAsiaTheme="minorEastAsia" w:hAnsiTheme="minorEastAsia" w:cstheme="minorEastAsia" w:hint="eastAsia"/>
          <w:b w:val="0"/>
          <w:color w:val="000000"/>
          <w:sz w:val="21"/>
          <w:szCs w:val="21"/>
          <w:vertAlign w:val="superscript"/>
          <w:lang w:val="en-US" w:eastAsia="zh-CN"/>
        </w:rPr>
        <w:t>[3]</w:t>
      </w:r>
      <w:r>
        <w:rPr>
          <w:rFonts w:asciiTheme="minorEastAsia" w:eastAsiaTheme="minorEastAsia" w:hAnsiTheme="minorEastAsia" w:cstheme="minorEastAsia" w:hint="eastAsia"/>
          <w:b w:val="0"/>
          <w:color w:val="000000"/>
          <w:sz w:val="21"/>
          <w:szCs w:val="21"/>
        </w:rPr>
        <w:t>。</w:t>
      </w:r>
    </w:p>
    <w:p w14:paraId="659908CB">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lang w:val="en-US" w:eastAsia="zh-CN"/>
        </w:rPr>
        <w:t>二</w:t>
      </w:r>
      <w:r>
        <w:rPr>
          <w:rFonts w:asciiTheme="minorEastAsia" w:eastAsiaTheme="minorEastAsia" w:hAnsiTheme="minorEastAsia" w:cstheme="minorEastAsia" w:hint="eastAsia"/>
          <w:b/>
          <w:color w:val="000000"/>
          <w:sz w:val="21"/>
          <w:szCs w:val="21"/>
        </w:rPr>
        <w:t>、三个概念的差异比较</w:t>
      </w:r>
    </w:p>
    <w:p w14:paraId="3DB9EF30">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从概念内涵、确定依据、时空尺度、不确定性以及法律功能这五个方面来梳理三者之间的区别，可以得出如下表格所示。</w:t>
      </w:r>
    </w:p>
    <w:p w14:paraId="33042AB9">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从表中可以看出基线是损害量化的“锚点”，它要依靠尽可能直接、可靠的证据来重建，对照点只是推定的证据来源，证明力比直接重建的基线弱；环境质量标准是脱离个案本底的行政标准，先天就带有保守取值的特性。地质背景值较高的区域如岩溶区土壤镉、磷石膏区氟和硫酸盐，质量标准会远离本底，直接套用会造成损害高估或者低估，这也</w:t>
      </w:r>
      <w:bookmarkStart w:id="0" w:name="_GoBack"/>
      <w:bookmarkEnd w:id="0"/>
      <w:r>
        <w:rPr>
          <w:rFonts w:asciiTheme="minorEastAsia" w:eastAsiaTheme="minorEastAsia" w:hAnsiTheme="minorEastAsia" w:cstheme="minorEastAsia" w:hint="eastAsia"/>
          <w:b w:val="0"/>
          <w:color w:val="000000"/>
          <w:sz w:val="21"/>
          <w:szCs w:val="21"/>
        </w:rPr>
        <w:t>是三者一起使用危害最大的情形。</w:t>
      </w:r>
    </w:p>
    <w:p w14:paraId="12F758A6">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表1  基线、对照点与环境质量标准的差异比较</w:t>
      </w:r>
    </w:p>
    <w:tbl>
      <w:tblPr>
        <w:tblStyle w:val="TableNorm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1299"/>
        <w:gridCol w:w="2676"/>
        <w:gridCol w:w="2604"/>
        <w:gridCol w:w="2493"/>
      </w:tblGrid>
      <w:tr w14:paraId="3D48DD67">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1299" w:type="dxa"/>
            <w:tcBorders>
              <w:top w:val="single" w:sz="8" w:space="0" w:color="000000"/>
              <w:bottom w:val="single" w:sz="4" w:space="0" w:color="000000"/>
            </w:tcBorders>
          </w:tcPr>
          <w:p w14:paraId="1DAF0DE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维度</w:t>
            </w:r>
          </w:p>
        </w:tc>
        <w:tc>
          <w:tcPr>
            <w:tcW w:w="2676" w:type="dxa"/>
            <w:tcBorders>
              <w:top w:val="single" w:sz="8" w:space="0" w:color="000000"/>
              <w:bottom w:val="single" w:sz="4" w:space="0" w:color="000000"/>
            </w:tcBorders>
          </w:tcPr>
          <w:p w14:paraId="003A4E86">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基线</w:t>
            </w:r>
          </w:p>
        </w:tc>
        <w:tc>
          <w:tcPr>
            <w:tcW w:w="2604" w:type="dxa"/>
            <w:tcBorders>
              <w:top w:val="single" w:sz="8" w:space="0" w:color="000000"/>
              <w:bottom w:val="single" w:sz="4" w:space="0" w:color="000000"/>
            </w:tcBorders>
          </w:tcPr>
          <w:p w14:paraId="232E311F">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对照点</w:t>
            </w:r>
          </w:p>
        </w:tc>
        <w:tc>
          <w:tcPr>
            <w:tcW w:w="2493" w:type="dxa"/>
            <w:tcBorders>
              <w:top w:val="single" w:sz="8" w:space="0" w:color="000000"/>
              <w:bottom w:val="single" w:sz="4" w:space="0" w:color="000000"/>
            </w:tcBorders>
          </w:tcPr>
          <w:p w14:paraId="1073012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环境质量标准</w:t>
            </w:r>
          </w:p>
        </w:tc>
      </w:tr>
      <w:tr w14:paraId="02D89A8E">
        <w:tblPrEx>
          <w:tblW w:w="0" w:type="auto"/>
          <w:jc w:val="center"/>
          <w:tblLayout w:type="fixed"/>
          <w:tblCellMar>
            <w:top w:w="0" w:type="dxa"/>
            <w:left w:w="108" w:type="dxa"/>
            <w:bottom w:w="0" w:type="dxa"/>
            <w:right w:w="108" w:type="dxa"/>
          </w:tblCellMar>
        </w:tblPrEx>
        <w:trPr>
          <w:jc w:val="center"/>
        </w:trPr>
        <w:tc>
          <w:tcPr>
            <w:tcW w:w="1299" w:type="dxa"/>
          </w:tcPr>
          <w:p w14:paraId="4D895645">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概念内涵</w:t>
            </w:r>
          </w:p>
        </w:tc>
        <w:tc>
          <w:tcPr>
            <w:tcW w:w="2676" w:type="dxa"/>
          </w:tcPr>
          <w:p w14:paraId="1F184D8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应有状态的客观事实</w:t>
            </w:r>
          </w:p>
        </w:tc>
        <w:tc>
          <w:tcPr>
            <w:tcW w:w="2604" w:type="dxa"/>
          </w:tcPr>
          <w:p w14:paraId="28D49C41">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未受影响参照实测值</w:t>
            </w:r>
          </w:p>
        </w:tc>
        <w:tc>
          <w:tcPr>
            <w:tcW w:w="2493" w:type="dxa"/>
          </w:tcPr>
          <w:p w14:paraId="3FF0B15F">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可接受水平的行政阈值</w:t>
            </w:r>
          </w:p>
        </w:tc>
      </w:tr>
      <w:tr w14:paraId="037A63D5">
        <w:tblPrEx>
          <w:tblW w:w="0" w:type="auto"/>
          <w:jc w:val="center"/>
          <w:tblLayout w:type="fixed"/>
          <w:tblCellMar>
            <w:top w:w="0" w:type="dxa"/>
            <w:left w:w="108" w:type="dxa"/>
            <w:bottom w:w="0" w:type="dxa"/>
            <w:right w:w="108" w:type="dxa"/>
          </w:tblCellMar>
        </w:tblPrEx>
        <w:trPr>
          <w:jc w:val="center"/>
        </w:trPr>
        <w:tc>
          <w:tcPr>
            <w:tcW w:w="1299" w:type="dxa"/>
          </w:tcPr>
          <w:p w14:paraId="5C17498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确定依据</w:t>
            </w:r>
          </w:p>
        </w:tc>
        <w:tc>
          <w:tcPr>
            <w:tcW w:w="2676" w:type="dxa"/>
          </w:tcPr>
          <w:p w14:paraId="62F73972">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历史监测、遥感、生产记录等直接证据</w:t>
            </w:r>
          </w:p>
        </w:tc>
        <w:tc>
          <w:tcPr>
            <w:tcW w:w="2604" w:type="dxa"/>
          </w:tcPr>
          <w:p w14:paraId="362BAB19">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空间替代与统计可比</w:t>
            </w:r>
          </w:p>
        </w:tc>
        <w:tc>
          <w:tcPr>
            <w:tcW w:w="2493" w:type="dxa"/>
          </w:tcPr>
          <w:p w14:paraId="51E40A53">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健康风险与生态目标</w:t>
            </w:r>
          </w:p>
        </w:tc>
      </w:tr>
      <w:tr w14:paraId="79C6C0E4">
        <w:tblPrEx>
          <w:tblW w:w="0" w:type="auto"/>
          <w:jc w:val="center"/>
          <w:tblLayout w:type="fixed"/>
          <w:tblCellMar>
            <w:top w:w="0" w:type="dxa"/>
            <w:left w:w="108" w:type="dxa"/>
            <w:bottom w:w="0" w:type="dxa"/>
            <w:right w:w="108" w:type="dxa"/>
          </w:tblCellMar>
        </w:tblPrEx>
        <w:trPr>
          <w:jc w:val="center"/>
        </w:trPr>
        <w:tc>
          <w:tcPr>
            <w:tcW w:w="1299" w:type="dxa"/>
          </w:tcPr>
          <w:p w14:paraId="796ABCC6">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时空尺度</w:t>
            </w:r>
          </w:p>
        </w:tc>
        <w:tc>
          <w:tcPr>
            <w:tcW w:w="2676" w:type="dxa"/>
          </w:tcPr>
          <w:p w14:paraId="5F1366A9">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时间指向、个案重建</w:t>
            </w:r>
          </w:p>
        </w:tc>
        <w:tc>
          <w:tcPr>
            <w:tcW w:w="2604" w:type="dxa"/>
          </w:tcPr>
          <w:p w14:paraId="36D08101">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空间指向、参照推定</w:t>
            </w:r>
          </w:p>
        </w:tc>
        <w:tc>
          <w:tcPr>
            <w:tcW w:w="2493" w:type="dxa"/>
          </w:tcPr>
          <w:p w14:paraId="6D36418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普适、区域统一</w:t>
            </w:r>
          </w:p>
        </w:tc>
      </w:tr>
      <w:tr w14:paraId="1295CFC7">
        <w:tblPrEx>
          <w:tblW w:w="0" w:type="auto"/>
          <w:jc w:val="center"/>
          <w:tblLayout w:type="fixed"/>
          <w:tblCellMar>
            <w:top w:w="0" w:type="dxa"/>
            <w:left w:w="108" w:type="dxa"/>
            <w:bottom w:w="0" w:type="dxa"/>
            <w:right w:w="108" w:type="dxa"/>
          </w:tblCellMar>
        </w:tblPrEx>
        <w:trPr>
          <w:jc w:val="center"/>
        </w:trPr>
        <w:tc>
          <w:tcPr>
            <w:tcW w:w="1299" w:type="dxa"/>
          </w:tcPr>
          <w:p w14:paraId="0231918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不确定性</w:t>
            </w:r>
          </w:p>
        </w:tc>
        <w:tc>
          <w:tcPr>
            <w:tcW w:w="2676" w:type="dxa"/>
          </w:tcPr>
          <w:p w14:paraId="563945B8">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取决于重建方法与资料</w:t>
            </w:r>
          </w:p>
        </w:tc>
        <w:tc>
          <w:tcPr>
            <w:tcW w:w="2604" w:type="dxa"/>
          </w:tcPr>
          <w:p w14:paraId="55E2FD5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受空间异质、污染迁移制约</w:t>
            </w:r>
          </w:p>
        </w:tc>
        <w:tc>
          <w:tcPr>
            <w:tcW w:w="2493" w:type="dxa"/>
          </w:tcPr>
          <w:p w14:paraId="4CAEC601">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具保守性</w:t>
            </w:r>
          </w:p>
        </w:tc>
      </w:tr>
      <w:tr w14:paraId="227EA95C">
        <w:tblPrEx>
          <w:tblW w:w="0" w:type="auto"/>
          <w:jc w:val="center"/>
          <w:tblLayout w:type="fixed"/>
          <w:tblCellMar>
            <w:top w:w="0" w:type="dxa"/>
            <w:left w:w="108" w:type="dxa"/>
            <w:bottom w:w="0" w:type="dxa"/>
            <w:right w:w="108" w:type="dxa"/>
          </w:tblCellMar>
        </w:tblPrEx>
        <w:trPr>
          <w:jc w:val="center"/>
        </w:trPr>
        <w:tc>
          <w:tcPr>
            <w:tcW w:w="1299" w:type="dxa"/>
            <w:tcBorders>
              <w:bottom w:val="single" w:sz="8" w:space="0" w:color="000000"/>
            </w:tcBorders>
          </w:tcPr>
          <w:p w14:paraId="36D57C68">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法律功能</w:t>
            </w:r>
          </w:p>
        </w:tc>
        <w:tc>
          <w:tcPr>
            <w:tcW w:w="2676" w:type="dxa"/>
            <w:tcBorders>
              <w:bottom w:val="single" w:sz="8" w:space="0" w:color="000000"/>
            </w:tcBorders>
          </w:tcPr>
          <w:p w14:paraId="7D8FA51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损害量化的基准</w:t>
            </w:r>
          </w:p>
        </w:tc>
        <w:tc>
          <w:tcPr>
            <w:tcW w:w="2604" w:type="dxa"/>
            <w:tcBorders>
              <w:bottom w:val="single" w:sz="8" w:space="0" w:color="000000"/>
            </w:tcBorders>
          </w:tcPr>
          <w:p w14:paraId="6CBC8A5F">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推定基线的证据</w:t>
            </w:r>
          </w:p>
        </w:tc>
        <w:tc>
          <w:tcPr>
            <w:tcW w:w="2493" w:type="dxa"/>
            <w:tcBorders>
              <w:bottom w:val="single" w:sz="8" w:space="0" w:color="000000"/>
            </w:tcBorders>
          </w:tcPr>
          <w:p w14:paraId="28BABD84">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合规判断与修复约束</w:t>
            </w:r>
          </w:p>
        </w:tc>
      </w:tr>
    </w:tbl>
    <w:p w14:paraId="4618471B">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对照点及质量标准均可以作为推定或者校验基线的依据，但是证明力以及功能不同，不能互相取代。</w:t>
      </w:r>
    </w:p>
    <w:p w14:paraId="5B63EDB4">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lang w:val="en-US" w:eastAsia="zh-CN"/>
        </w:rPr>
        <w:t>三</w:t>
      </w:r>
      <w:r>
        <w:rPr>
          <w:rFonts w:asciiTheme="minorEastAsia" w:eastAsiaTheme="minorEastAsia" w:hAnsiTheme="minorEastAsia" w:cstheme="minorEastAsia" w:hint="eastAsia"/>
          <w:b/>
          <w:color w:val="000000"/>
          <w:sz w:val="21"/>
          <w:szCs w:val="21"/>
        </w:rPr>
        <w:t>、“基线优先、对照点校正、质量标准兜底”的取舍规则</w:t>
      </w:r>
    </w:p>
    <w:p w14:paraId="5C948AAA">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由于有上述的差异，所以鉴定评估要建立基线优先、对照点校正、质量标准兜底的取舍原则。基线优先，用直接证据的历史监测、遥感和生产记录等进行基线的重建，凡是能够得到直接证据的，不能用间接推断代替，保证损害量化所依据的事实是真实的。第二，在缺少直接资料的时候，用模型反演（沉积物柱状样、污染扩散模型）和对照点校正来推断基线，对照点要经过地形地貌、土壤类型、水文条件、生态类型和历史扰动的可比性检验，再用指示物、元素比值或者同位素指纹来验证其独立性，经过统计校正之后才可以使用，不能把受污染或者不可比的参照污染结论当作基线来使用。第三，质量标准兜底，环境质量标准只用在损害风险筛查、是否启动评估和修复目标值的下限约束这三个方面，不能直接作为基线使用，使行政保护要求和客观事实认定被清楚地区分开。</w:t>
      </w:r>
    </w:p>
    <w:p w14:paraId="56325FF0">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（三）质量标准严于本底时的本底基线</w:t>
      </w:r>
    </w:p>
    <w:p w14:paraId="191F997A">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val="0"/>
          <w:color w:val="000000"/>
          <w:sz w:val="21"/>
          <w:szCs w:val="21"/>
        </w:rPr>
        <w:t>高地质背景值区常常存在着环境质量标准高于本底的情况，岩溶区土壤镉、磷石膏区氟和硫酸盐的本底含量本身就比较高，往往超过了对一般地区所规定的质量标准限值，如果机械地套用质量标准作基线，就会把天然背景误认为是人为污染造成的损害，从而扩大损害范围以及赔偿数额。因此要坚持以本底为基线，对于有污染来源的自然背景中已有的部分，不能算作损害，修复的目标不能低于环境质量标准，不能因为承认本底而降低对生态和人群健康保护的要求，也不能因承认本底而放松客观事实认定和行政保护目标的实现。此路径的关键就在于清楚划分本底取值与污染叠加的界限，依靠区域背景调查、指示物识别和同位素溯源等证据把天然背景和人为贡献清楚地分开，不给污染者转嫁责任，也不让无过错的自然背景承担损害责任，达成认定客观和保护到位的平衡。</w:t>
      </w:r>
    </w:p>
    <w:p w14:paraId="75B8900A">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r>
        <w:rPr>
          <w:rFonts w:asciiTheme="minorEastAsia" w:eastAsiaTheme="minorEastAsia" w:hAnsiTheme="minorEastAsia" w:cstheme="minorEastAsia" w:hint="eastAsia"/>
          <w:b/>
          <w:color w:val="000000"/>
          <w:sz w:val="21"/>
          <w:szCs w:val="21"/>
        </w:rPr>
        <w:t>（四）质量标准宽于本底时的本底差值量化</w:t>
      </w:r>
    </w:p>
    <w:p w14:paraId="51F3181E">
      <w:pPr>
        <w:spacing w:line="360" w:lineRule="auto"/>
        <w:ind w:firstLine="420"/>
        <w:jc w:val="both"/>
      </w:pPr>
      <w:r>
        <w:rPr>
          <w:rFonts w:ascii="Times New Roman" w:eastAsia="宋体" w:hAnsi="Times New Roman"/>
          <w:b w:val="0"/>
          <w:color w:val="000000"/>
          <w:sz w:val="21"/>
        </w:rPr>
        <w:t>与前面的高背景区相反，在低地质背景值区，环境质量标准限值一般宽于本底，本底浓度远小于行政阈值，如果以宽的标准作为基线，因为阈值过高就会把本来已经发生的损害隐藏起来，导致应该赔偿的部分被忽略。因此应按照本底和实际监测值之差量度损害，恢复到本底状态所需要的清除量以及补偿量均应当按照本底来计算，不能以宽松的质量标准作为依据，即使实测值没有超过质量标准，只要实测值高于本底，也属于生态要素的偏离，应当被纳入损害认定范围。此路径重视损害事实属性而不是行政合规属性，质量标准只是一个可以被接受的上限约束，不能反过来作为损害的豁免理由。量化的时候必须保证本底和实测值的监测口径一致、时间尺度一致，根据误差范围合理调整差值，保证损害赔偿与实际损失相等，不能以标准宽松来掩饰生态真实偏离。</w:t>
      </w:r>
    </w:p>
    <w:p w14:paraId="38C03153">
      <w:pPr>
        <w:keepNext w:val="0"/>
        <w:keepLines w:val="0"/>
        <w:pageBreakBefore w:val="0"/>
        <w:widowControl/>
        <w:kinsoku/>
        <w:wordWrap/>
        <w:overflowPunct/>
        <w:topLinePunct w:val="0"/>
        <w:autoSpaceDE/>
        <w:autoSpaceDN/>
        <w:bidi w:val="0"/>
        <w:adjustRightInd/>
        <w:snapToGrid/>
        <w:spacing w:after="0" w:line="360" w:lineRule="auto"/>
        <w:ind w:firstLine="420" w:firstLineChars="200"/>
        <w:jc w:val="left"/>
        <w:textAlignment w:val="auto"/>
        <w:rPr>
          <w:rFonts w:asciiTheme="minorEastAsia" w:eastAsiaTheme="minorEastAsia" w:hAnsiTheme="minorEastAsia" w:cstheme="minorEastAsia" w:hint="eastAsia"/>
          <w:sz w:val="21"/>
          <w:szCs w:val="21"/>
        </w:rPr>
      </w:pPr>
    </w:p>
    <w:p w14:paraId="6A460665"/>
    <w:sectPr>
      <w:pgSz w:w="11906" w:h="16838"/>
      <w:pgMar w:top="1417" w:right="1417" w:bottom="1417" w:left="1417"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430D11"/>
    <w:rsid w:val="0B2823FC"/>
    <w:rsid w:val="38D83FB2"/>
    <w:rsid w:val="40430D11"/>
    <w:rsid w:val="76CA40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360" w:lineRule="auto"/>
    </w:pPr>
    <w:rPr>
      <w:rFonts w:ascii="Times New Roman" w:eastAsia="宋体" w:hAnsi="Times New Roman" w:cstheme="minorBidi"/>
      <w:sz w:val="21"/>
      <w:szCs w:val="22"/>
      <w:lang w:val="en-US" w:eastAsia="en-US"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2026-11-01T13:01:00Z</dcterms:created>
  <dcterms:modified xsi:type="dcterms:W3CDTF">2026-11-01T13:06:53Z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808EA5DE07934913BA4A61AFECE3853F_11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