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955E7E2">
      <w:pPr>
        <w:keepLines w:val="0"/>
        <w:pageBreakBefore w:val="0"/>
        <w:numPr>
          <w:ilvl w:val="0"/>
          <w:numId w:val="0"/>
        </w:numPr>
        <w:kinsoku/>
        <w:wordWrap/>
        <w:overflowPunct/>
        <w:topLinePunct w:val="0"/>
        <w:autoSpaceDE/>
        <w:autoSpaceDN/>
        <w:bidi w:val="0"/>
        <w:adjustRightInd/>
        <w:spacing w:line="360" w:lineRule="auto"/>
        <w:textAlignment w:val="auto"/>
        <w:rPr>
          <w:rFonts w:ascii="宋体" w:eastAsia="宋体" w:hAnsi="宋体" w:cs="宋体" w:hint="eastAsia"/>
          <w:b/>
          <w:bCs/>
        </w:rPr>
      </w:pPr>
      <w:r>
        <w:rPr>
          <w:rFonts w:ascii="宋体" w:eastAsia="宋体" w:hAnsi="宋体" w:cs="宋体" w:hint="eastAsia"/>
          <w:b/>
          <w:bCs/>
          <w:lang w:val="en-US" w:eastAsia="zh-CN"/>
        </w:rPr>
        <w:t>1.</w:t>
      </w:r>
      <w:r>
        <w:rPr>
          <w:rFonts w:ascii="宋体" w:eastAsia="宋体" w:hAnsi="宋体" w:cs="宋体" w:hint="eastAsia"/>
          <w:b/>
          <w:bCs/>
        </w:rPr>
        <w:t>课题研究主要进展</w:t>
      </w:r>
    </w:p>
    <w:p w14:paraId="500A4A2D">
      <w:pPr>
        <w:keepLines w:val="0"/>
        <w:pageBreakBefore w:val="0"/>
        <w:numPr>
          <w:ilvl w:val="0"/>
          <w:numId w:val="0"/>
        </w:numPr>
        <w:kinsoku/>
        <w:wordWrap/>
        <w:overflowPunct/>
        <w:topLinePunct w:val="0"/>
        <w:autoSpaceDE/>
        <w:autoSpaceDN/>
        <w:bidi w:val="0"/>
        <w:adjustRightInd/>
        <w:spacing w:line="360" w:lineRule="auto"/>
        <w:ind w:firstLine="420" w:firstLineChars="200"/>
        <w:textAlignment w:val="auto"/>
        <w:rPr>
          <w:rFonts w:ascii="宋体" w:eastAsia="宋体" w:hAnsi="宋体" w:cs="宋体" w:hint="default"/>
          <w:lang w:val="en-US" w:eastAsia="zh-CN"/>
        </w:rPr>
      </w:pPr>
      <w:r>
        <w:rPr>
          <w:rFonts w:ascii="宋体" w:eastAsia="宋体" w:hAnsi="宋体" w:cs="宋体" w:hint="default"/>
          <w:lang w:val="en-US" w:eastAsia="zh-CN"/>
        </w:rPr>
        <w:t>2025年7月—10月由张晓霞主持课题研究。团队选择校内历史老师、德育老师作为成员，成员根据个人日常教学任务制订出分工表，留出外出调研和集中研讨的时间，给课题后续所有的活动做好人员上的准备。</w:t>
      </w:r>
    </w:p>
    <w:p w14:paraId="2A99C81C">
      <w:pPr>
        <w:keepLines w:val="0"/>
        <w:pageBreakBefore w:val="0"/>
        <w:numPr>
          <w:ilvl w:val="0"/>
          <w:numId w:val="0"/>
        </w:numPr>
        <w:kinsoku/>
        <w:wordWrap/>
        <w:overflowPunct/>
        <w:topLinePunct w:val="0"/>
        <w:autoSpaceDE/>
        <w:autoSpaceDN/>
        <w:bidi w:val="0"/>
        <w:adjustRightInd/>
        <w:spacing w:line="360" w:lineRule="auto"/>
        <w:ind w:firstLine="420" w:firstLineChars="200"/>
        <w:textAlignment w:val="auto"/>
        <w:rPr>
          <w:rFonts w:ascii="宋体" w:eastAsia="宋体" w:hAnsi="宋体" w:cs="宋体" w:hint="default"/>
          <w:lang w:val="en-US" w:eastAsia="zh-CN"/>
        </w:rPr>
      </w:pPr>
      <w:r>
        <w:rPr>
          <w:rFonts w:ascii="宋体" w:eastAsia="宋体" w:hAnsi="宋体" w:cs="宋体" w:hint="default"/>
          <w:lang w:val="en-US" w:eastAsia="zh-CN"/>
        </w:rPr>
        <w:t>2025年8月—10月课题组所有成员一起研究制定课题的研究方案。成员对照初中历史课程标准中关于家国情怀素养的要求，结合运城红色资源分散在各县区的实际情况反复修改文稿，找出实践环节可能出现的障碍，并搭建起课题整体实施的框架。</w:t>
      </w:r>
    </w:p>
    <w:p w14:paraId="64C2F7F8">
      <w:pPr>
        <w:keepLines w:val="0"/>
        <w:pageBreakBefore w:val="0"/>
        <w:numPr>
          <w:ilvl w:val="0"/>
          <w:numId w:val="0"/>
        </w:numPr>
        <w:kinsoku/>
        <w:wordWrap/>
        <w:overflowPunct/>
        <w:topLinePunct w:val="0"/>
        <w:autoSpaceDE/>
        <w:autoSpaceDN/>
        <w:bidi w:val="0"/>
        <w:adjustRightInd/>
        <w:spacing w:line="360" w:lineRule="auto"/>
        <w:ind w:firstLine="420" w:firstLineChars="200"/>
        <w:textAlignment w:val="auto"/>
        <w:rPr>
          <w:rFonts w:ascii="宋体" w:eastAsia="宋体" w:hAnsi="宋体" w:cs="宋体" w:hint="default"/>
          <w:lang w:val="en-US" w:eastAsia="zh-CN"/>
        </w:rPr>
      </w:pPr>
      <w:r>
        <w:rPr>
          <w:rFonts w:ascii="宋体" w:eastAsia="宋体" w:hAnsi="宋体" w:cs="宋体" w:hint="default"/>
          <w:lang w:val="en-US" w:eastAsia="zh-CN"/>
        </w:rPr>
        <w:t>2025年9月至10月课题组集中讨论研究目的和研究内容。团队以万荣县城镇中学初中生为研究对象，将资源调查、学情调查、课堂融入、效果评价分成四个部分，逐条找到研究的重点，也找到实践中不易解决的难点。</w:t>
      </w:r>
    </w:p>
    <w:p w14:paraId="5831170F">
      <w:pPr>
        <w:keepLines w:val="0"/>
        <w:pageBreakBefore w:val="0"/>
        <w:numPr>
          <w:ilvl w:val="0"/>
          <w:numId w:val="0"/>
        </w:numPr>
        <w:kinsoku/>
        <w:wordWrap/>
        <w:overflowPunct/>
        <w:topLinePunct w:val="0"/>
        <w:autoSpaceDE/>
        <w:autoSpaceDN/>
        <w:bidi w:val="0"/>
        <w:adjustRightInd/>
        <w:spacing w:line="360" w:lineRule="auto"/>
        <w:ind w:firstLine="420" w:firstLineChars="200"/>
        <w:textAlignment w:val="auto"/>
        <w:rPr>
          <w:rFonts w:ascii="宋体" w:eastAsia="宋体" w:hAnsi="宋体" w:cs="宋体" w:hint="default"/>
          <w:lang w:val="en-US" w:eastAsia="zh-CN"/>
        </w:rPr>
      </w:pPr>
      <w:r>
        <w:rPr>
          <w:rFonts w:ascii="宋体" w:eastAsia="宋体" w:hAnsi="宋体" w:cs="宋体" w:hint="default"/>
          <w:lang w:val="en-US" w:eastAsia="zh-CN"/>
        </w:rPr>
        <w:t>2025年10-11月贾瑞倩组织查阅有关理论文献。检索红色育人、历史学科素养有关期刊文献，并收集运城地方志、运城党史记载，整理红色场馆公开史料，将全部文献材料按照类别整理好，供课题组其他成员查阅使用。</w:t>
      </w:r>
    </w:p>
    <w:p w14:paraId="2A41B410">
      <w:pPr>
        <w:keepLines w:val="0"/>
        <w:pageBreakBefore w:val="0"/>
        <w:numPr>
          <w:ilvl w:val="0"/>
          <w:numId w:val="0"/>
        </w:numPr>
        <w:kinsoku/>
        <w:wordWrap/>
        <w:overflowPunct/>
        <w:topLinePunct w:val="0"/>
        <w:autoSpaceDE/>
        <w:autoSpaceDN/>
        <w:bidi w:val="0"/>
        <w:adjustRightInd/>
        <w:spacing w:line="360" w:lineRule="auto"/>
        <w:ind w:firstLine="420" w:firstLineChars="200"/>
        <w:textAlignment w:val="auto"/>
        <w:rPr>
          <w:rFonts w:ascii="宋体" w:eastAsia="宋体" w:hAnsi="宋体" w:cs="宋体" w:hint="default"/>
          <w:lang w:val="en-US" w:eastAsia="zh-CN"/>
        </w:rPr>
      </w:pPr>
      <w:r>
        <w:rPr>
          <w:rFonts w:ascii="宋体" w:eastAsia="宋体" w:hAnsi="宋体" w:cs="宋体" w:hint="default"/>
          <w:lang w:val="en-US" w:eastAsia="zh-CN"/>
        </w:rPr>
        <w:t>2025年11月至2026年3月，张晓霞对前期所有的资料进行整理后完成了课题申报。课题组对申报表内研究对象、实施途径、预期成果、经费明细等进行逐条核对，并根据上级教研部门的要求将全部申报材料上报。</w:t>
      </w:r>
    </w:p>
    <w:p w14:paraId="5615B9CF">
      <w:pPr>
        <w:keepLines w:val="0"/>
        <w:pageBreakBefore w:val="0"/>
        <w:numPr>
          <w:ilvl w:val="0"/>
          <w:numId w:val="0"/>
        </w:numPr>
        <w:kinsoku/>
        <w:wordWrap/>
        <w:overflowPunct/>
        <w:topLinePunct w:val="0"/>
        <w:autoSpaceDE/>
        <w:autoSpaceDN/>
        <w:bidi w:val="0"/>
        <w:adjustRightInd/>
        <w:spacing w:line="360" w:lineRule="auto"/>
        <w:ind w:firstLine="420" w:firstLineChars="200"/>
        <w:textAlignment w:val="auto"/>
        <w:rPr>
          <w:rFonts w:ascii="宋体" w:eastAsia="宋体" w:hAnsi="宋体" w:cs="宋体" w:hint="default"/>
          <w:lang w:val="en-US" w:eastAsia="zh-CN"/>
        </w:rPr>
      </w:pPr>
      <w:r>
        <w:rPr>
          <w:rFonts w:ascii="宋体" w:eastAsia="宋体" w:hAnsi="宋体" w:cs="宋体" w:hint="default"/>
          <w:lang w:val="en-US" w:eastAsia="zh-CN"/>
        </w:rPr>
        <w:t>2026年4月至2026年7月课题组开展校内实践探索。解秀琴做校本教材初稿，何君华打磨课堂教学案例，贾丽婵带领两批学生走进当地红色场馆开展研学活动，老师在课堂上开展各种体验活动，每次活动之后都会留下文字与影像资料。</w:t>
      </w:r>
    </w:p>
    <w:p w14:paraId="7B76F393">
      <w:pPr>
        <w:keepLines w:val="0"/>
        <w:pageBreakBefore w:val="0"/>
        <w:numPr>
          <w:ilvl w:val="0"/>
          <w:numId w:val="0"/>
        </w:numPr>
        <w:kinsoku/>
        <w:wordWrap/>
        <w:overflowPunct/>
        <w:topLinePunct w:val="0"/>
        <w:autoSpaceDE/>
        <w:autoSpaceDN/>
        <w:bidi w:val="0"/>
        <w:adjustRightInd/>
        <w:spacing w:line="360" w:lineRule="auto"/>
        <w:ind w:firstLine="420" w:firstLineChars="200"/>
        <w:textAlignment w:val="auto"/>
        <w:rPr>
          <w:rFonts w:ascii="宋体" w:eastAsia="宋体" w:hAnsi="宋体" w:cs="宋体" w:hint="default"/>
          <w:lang w:val="en-US" w:eastAsia="zh-CN"/>
        </w:rPr>
      </w:pPr>
      <w:r>
        <w:rPr>
          <w:rFonts w:ascii="宋体" w:eastAsia="宋体" w:hAnsi="宋体" w:cs="宋体" w:hint="default"/>
          <w:lang w:val="en-US" w:eastAsia="zh-CN"/>
        </w:rPr>
        <w:t>2026年8月至2026年10月底课题组将全部的实践资料进行汇总，并做中期汇报。薛淑云对问卷数据进行二次整理，贾瑞倩对红色资源台账进行梳理，课题组对前期实践过程中出现的问题进行集中复盘，收集阶段性成果，整理汇报材料及相关证明材料。</w:t>
      </w:r>
    </w:p>
    <w:p w14:paraId="40AFB7DB">
      <w:pPr>
        <w:keepLines w:val="0"/>
        <w:pageBreakBefore w:val="0"/>
        <w:numPr>
          <w:ilvl w:val="0"/>
          <w:numId w:val="0"/>
        </w:numPr>
        <w:kinsoku/>
        <w:wordWrap/>
        <w:overflowPunct/>
        <w:topLinePunct w:val="0"/>
        <w:autoSpaceDE/>
        <w:autoSpaceDN/>
        <w:bidi w:val="0"/>
        <w:adjustRightInd/>
        <w:spacing w:line="360" w:lineRule="auto"/>
        <w:textAlignment w:val="auto"/>
        <w:rPr>
          <w:rFonts w:ascii="宋体" w:eastAsia="宋体" w:hAnsi="宋体" w:cs="宋体" w:hint="eastAsia"/>
          <w:b/>
          <w:bCs/>
        </w:rPr>
      </w:pPr>
      <w:r>
        <w:rPr>
          <w:rFonts w:ascii="宋体" w:eastAsia="宋体" w:hAnsi="宋体" w:cs="宋体" w:hint="eastAsia"/>
          <w:b/>
          <w:bCs/>
          <w:lang w:val="en-US" w:eastAsia="zh-CN"/>
        </w:rPr>
        <w:t>4.</w:t>
      </w:r>
      <w:r>
        <w:rPr>
          <w:rFonts w:ascii="宋体" w:eastAsia="宋体" w:hAnsi="宋体" w:cs="宋体" w:hint="eastAsia"/>
          <w:b/>
          <w:bCs/>
        </w:rPr>
        <w:t>阶段性成果</w:t>
      </w:r>
    </w:p>
    <w:p w14:paraId="6ADA05F5">
      <w:pPr>
        <w:keepLines w:val="0"/>
        <w:pageBreakBefore w:val="0"/>
        <w:numPr>
          <w:ilvl w:val="0"/>
          <w:numId w:val="0"/>
        </w:numPr>
        <w:kinsoku/>
        <w:wordWrap/>
        <w:overflowPunct/>
        <w:topLinePunct w:val="0"/>
        <w:autoSpaceDE/>
        <w:autoSpaceDN/>
        <w:bidi w:val="0"/>
        <w:adjustRightInd/>
        <w:spacing w:line="360" w:lineRule="auto"/>
        <w:textAlignment w:val="auto"/>
        <w:rPr>
          <w:rFonts w:ascii="宋体" w:eastAsia="宋体" w:hAnsi="宋体" w:cs="宋体" w:hint="eastAsia"/>
          <w:b/>
          <w:bCs/>
          <w:lang w:val="en-US" w:eastAsia="zh-CN"/>
        </w:rPr>
      </w:pPr>
      <w:r>
        <w:rPr>
          <w:rFonts w:ascii="宋体" w:eastAsia="宋体" w:hAnsi="宋体" w:cs="宋体" w:hint="eastAsia"/>
          <w:b/>
          <w:bCs/>
          <w:lang w:val="en-US" w:eastAsia="zh-CN"/>
        </w:rPr>
        <w:t>4.1完成运城地区红色资源梳理工作</w:t>
      </w:r>
    </w:p>
    <w:p w14:paraId="0F0AE998">
      <w:pPr>
        <w:keepLines w:val="0"/>
        <w:pageBreakBefore w:val="0"/>
        <w:numPr>
          <w:ilvl w:val="0"/>
          <w:numId w:val="0"/>
        </w:numPr>
        <w:kinsoku/>
        <w:wordWrap/>
        <w:overflowPunct/>
        <w:topLinePunct w:val="0"/>
        <w:autoSpaceDE/>
        <w:autoSpaceDN/>
        <w:bidi w:val="0"/>
        <w:adjustRightIn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课题组指派贾瑞倩到运城市各县区进行实地调查，寻找有红色意义的红色景点，核对地方志、展馆的文字记载的真实性。区分有形的红色旧址和流传下来的革命故事，找出各个资源适合对接的初中历史课时，从中选出适合对初中生讲授的内容如下表所示：</w:t>
      </w:r>
    </w:p>
    <w:tbl>
      <w:tblPr>
        <w:tblStyle w:val="TableNormal"/>
        <w:tblW w:w="8462" w:type="dxa"/>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shd w:val="clear" w:color="auto" w:fill="auto"/>
        <w:tblLayout w:type="fixed"/>
        <w:tblCellMar>
          <w:top w:w="15" w:type="dxa"/>
          <w:left w:w="15" w:type="dxa"/>
          <w:bottom w:w="15" w:type="dxa"/>
          <w:right w:w="15" w:type="dxa"/>
        </w:tblCellMar>
      </w:tblPr>
      <w:tblGrid>
        <w:gridCol w:w="1069"/>
        <w:gridCol w:w="1001"/>
        <w:gridCol w:w="2499"/>
        <w:gridCol w:w="2543"/>
        <w:gridCol w:w="1350"/>
      </w:tblGrid>
      <w:tr w14:paraId="64E2A85D">
        <w:tblPrEx>
          <w:tblW w:w="8462" w:type="dxa"/>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shd w:val="clear" w:color="auto" w:fill="auto"/>
          <w:tblLayout w:type="fixed"/>
          <w:tblCellMar>
            <w:top w:w="15" w:type="dxa"/>
            <w:left w:w="15" w:type="dxa"/>
            <w:bottom w:w="15" w:type="dxa"/>
            <w:right w:w="15" w:type="dxa"/>
          </w:tblCellMar>
        </w:tblPrEx>
        <w:trPr>
          <w:trHeight w:hRule="auto" w:val="0"/>
          <w:tblHeader/>
          <w:jc w:val="center"/>
        </w:trPr>
        <w:tc>
          <w:tcPr>
            <w:tcW w:w="1069" w:type="dxa"/>
            <w:tcBorders>
              <w:top w:val="single" w:sz="12" w:space="0" w:color="4874CB" w:themeColor="accent1"/>
              <w:left w:val="nil"/>
              <w:bottom w:val="single" w:sz="6" w:space="0" w:color="4874CB" w:themeColor="accent1"/>
              <w:right w:val="nil"/>
            </w:tcBorders>
            <w:shd w:val="clear" w:color="auto" w:fill="FFFFFF"/>
            <w:noWrap w:val="0"/>
            <w:tcMar>
              <w:top w:w="120" w:type="dxa"/>
              <w:left w:w="120" w:type="dxa"/>
              <w:bottom w:w="120" w:type="dxa"/>
              <w:right w:w="120" w:type="dxa"/>
            </w:tcMar>
            <w:vAlign w:val="center"/>
          </w:tcPr>
          <w:p w14:paraId="189114D4">
            <w:pPr>
              <w:keepNext/>
              <w:keepLines w:val="0"/>
              <w:pageBreakBefore w:val="0"/>
              <w:widowControl/>
              <w:suppressLineNumbers w:val="0"/>
              <w:kinsoku/>
              <w:wordWrap/>
              <w:overflowPunct/>
              <w:topLinePunct w:val="0"/>
              <w:autoSpaceDE/>
              <w:autoSpaceDN/>
              <w:bidi w:val="0"/>
              <w:adjustRightInd/>
              <w:snapToGrid w:val="0"/>
              <w:spacing w:line="240" w:lineRule="auto"/>
              <w:ind w:left="0" w:right="0" w:firstLine="0" w:leftChars="0" w:rightChars="0" w:firstLineChars="0"/>
              <w:jc w:val="center"/>
              <w:textAlignment w:val="auto"/>
              <w:rPr>
                <w:rFonts w:ascii="宋体" w:eastAsia="宋体"/>
                <w:b/>
                <w:bCs/>
                <w:i w:val="0"/>
                <w:color w:val="4874CB" w:themeColor="accent1"/>
                <w:sz w:val="18"/>
                <w:szCs w:val="18"/>
                <w14:textFill>
                  <w14:solidFill>
                    <w14:schemeClr w14:val="accent1"/>
                  </w14:solidFill>
                </w14:textFill>
              </w:rPr>
            </w:pPr>
            <w:r>
              <w:rPr>
                <w:rFonts w:ascii="宋体" w:eastAsia="宋体" w:hAnsi="宋体" w:cs="宋体"/>
                <w:b/>
                <w:bCs/>
                <w:i w:val="0"/>
                <w:color w:val="4874CB" w:themeColor="accent1"/>
                <w:kern w:val="0"/>
                <w:sz w:val="18"/>
                <w:szCs w:val="18"/>
                <w:lang w:val="en-US" w:eastAsia="zh-CN" w:bidi="ar"/>
                <w14:textFill>
                  <w14:solidFill>
                    <w14:schemeClr w14:val="accent1"/>
                  </w14:solidFill>
                </w14:textFill>
              </w:rPr>
              <w:t>资源名称</w:t>
            </w:r>
          </w:p>
        </w:tc>
        <w:tc>
          <w:tcPr>
            <w:tcW w:w="1001" w:type="dxa"/>
            <w:tcBorders>
              <w:top w:val="single" w:sz="12" w:space="0" w:color="4874CB" w:themeColor="accent1"/>
              <w:left w:val="nil"/>
              <w:bottom w:val="single" w:sz="6" w:space="0" w:color="4874CB" w:themeColor="accent1"/>
              <w:right w:val="nil"/>
            </w:tcBorders>
            <w:shd w:val="clear" w:color="auto" w:fill="FFFFFF"/>
            <w:noWrap w:val="0"/>
            <w:tcMar>
              <w:top w:w="120" w:type="dxa"/>
              <w:left w:w="120" w:type="dxa"/>
              <w:bottom w:w="120" w:type="dxa"/>
              <w:right w:w="120" w:type="dxa"/>
            </w:tcMar>
            <w:vAlign w:val="center"/>
          </w:tcPr>
          <w:p w14:paraId="3D32334A">
            <w:pPr>
              <w:keepNext/>
              <w:keepLines w:val="0"/>
              <w:pageBreakBefore w:val="0"/>
              <w:widowControl/>
              <w:suppressLineNumbers w:val="0"/>
              <w:kinsoku/>
              <w:wordWrap/>
              <w:overflowPunct/>
              <w:topLinePunct w:val="0"/>
              <w:autoSpaceDE/>
              <w:autoSpaceDN/>
              <w:bidi w:val="0"/>
              <w:adjustRightInd/>
              <w:snapToGrid w:val="0"/>
              <w:spacing w:line="240" w:lineRule="auto"/>
              <w:ind w:left="0" w:right="0" w:firstLine="0" w:leftChars="0" w:rightChars="0" w:firstLineChars="0"/>
              <w:jc w:val="center"/>
              <w:textAlignment w:val="auto"/>
              <w:rPr>
                <w:rFonts w:ascii="宋体" w:eastAsia="宋体"/>
                <w:b/>
                <w:bCs/>
                <w:i w:val="0"/>
                <w:color w:val="4874CB" w:themeColor="accent1"/>
                <w:sz w:val="18"/>
                <w:szCs w:val="18"/>
                <w14:textFill>
                  <w14:solidFill>
                    <w14:schemeClr w14:val="accent1"/>
                  </w14:solidFill>
                </w14:textFill>
              </w:rPr>
            </w:pPr>
            <w:r>
              <w:rPr>
                <w:rFonts w:ascii="宋体" w:eastAsia="宋体" w:hAnsi="宋体" w:cs="宋体"/>
                <w:b/>
                <w:bCs/>
                <w:i w:val="0"/>
                <w:color w:val="4874CB" w:themeColor="accent1"/>
                <w:kern w:val="0"/>
                <w:sz w:val="18"/>
                <w:szCs w:val="18"/>
                <w:lang w:val="en-US" w:eastAsia="zh-CN" w:bidi="ar"/>
                <w14:textFill>
                  <w14:solidFill>
                    <w14:schemeClr w14:val="accent1"/>
                  </w14:solidFill>
                </w14:textFill>
              </w:rPr>
              <w:t>分布区域</w:t>
            </w:r>
          </w:p>
        </w:tc>
        <w:tc>
          <w:tcPr>
            <w:tcW w:w="2499" w:type="dxa"/>
            <w:tcBorders>
              <w:top w:val="single" w:sz="12" w:space="0" w:color="4874CB" w:themeColor="accent1"/>
              <w:left w:val="nil"/>
              <w:bottom w:val="single" w:sz="6" w:space="0" w:color="4874CB" w:themeColor="accent1"/>
              <w:right w:val="nil"/>
            </w:tcBorders>
            <w:shd w:val="clear" w:color="auto" w:fill="FFFFFF"/>
            <w:noWrap w:val="0"/>
            <w:tcMar>
              <w:top w:w="120" w:type="dxa"/>
              <w:left w:w="120" w:type="dxa"/>
              <w:bottom w:w="120" w:type="dxa"/>
              <w:right w:w="120" w:type="dxa"/>
            </w:tcMar>
            <w:vAlign w:val="center"/>
          </w:tcPr>
          <w:p w14:paraId="614DB550">
            <w:pPr>
              <w:keepNext/>
              <w:keepLines w:val="0"/>
              <w:pageBreakBefore w:val="0"/>
              <w:widowControl/>
              <w:suppressLineNumbers w:val="0"/>
              <w:kinsoku/>
              <w:wordWrap/>
              <w:overflowPunct/>
              <w:topLinePunct w:val="0"/>
              <w:autoSpaceDE/>
              <w:autoSpaceDN/>
              <w:bidi w:val="0"/>
              <w:adjustRightInd/>
              <w:snapToGrid w:val="0"/>
              <w:spacing w:line="240" w:lineRule="auto"/>
              <w:ind w:left="0" w:right="0" w:firstLine="0" w:leftChars="0" w:rightChars="0" w:firstLineChars="0"/>
              <w:jc w:val="center"/>
              <w:textAlignment w:val="auto"/>
              <w:rPr>
                <w:rFonts w:ascii="宋体" w:eastAsia="宋体"/>
                <w:b/>
                <w:bCs/>
                <w:i w:val="0"/>
                <w:color w:val="4874CB" w:themeColor="accent1"/>
                <w:sz w:val="18"/>
                <w:szCs w:val="18"/>
                <w14:textFill>
                  <w14:solidFill>
                    <w14:schemeClr w14:val="accent1"/>
                  </w14:solidFill>
                </w14:textFill>
              </w:rPr>
            </w:pPr>
            <w:r>
              <w:rPr>
                <w:rFonts w:ascii="宋体" w:eastAsia="宋体" w:hAnsi="宋体" w:cs="宋体"/>
                <w:b/>
                <w:bCs/>
                <w:i w:val="0"/>
                <w:color w:val="4874CB" w:themeColor="accent1"/>
                <w:kern w:val="0"/>
                <w:sz w:val="18"/>
                <w:szCs w:val="18"/>
                <w:lang w:val="en-US" w:eastAsia="zh-CN" w:bidi="ar"/>
                <w14:textFill>
                  <w14:solidFill>
                    <w14:schemeClr w14:val="accent1"/>
                  </w14:solidFill>
                </w14:textFill>
              </w:rPr>
              <w:t>核心史实内容</w:t>
            </w:r>
          </w:p>
        </w:tc>
        <w:tc>
          <w:tcPr>
            <w:tcW w:w="2543" w:type="dxa"/>
            <w:tcBorders>
              <w:top w:val="single" w:sz="12" w:space="0" w:color="4874CB" w:themeColor="accent1"/>
              <w:left w:val="nil"/>
              <w:bottom w:val="single" w:sz="6" w:space="0" w:color="4874CB" w:themeColor="accent1"/>
              <w:right w:val="nil"/>
            </w:tcBorders>
            <w:shd w:val="clear" w:color="auto" w:fill="FFFFFF"/>
            <w:noWrap w:val="0"/>
            <w:tcMar>
              <w:top w:w="120" w:type="dxa"/>
              <w:left w:w="120" w:type="dxa"/>
              <w:bottom w:w="120" w:type="dxa"/>
              <w:right w:w="120" w:type="dxa"/>
            </w:tcMar>
            <w:vAlign w:val="center"/>
          </w:tcPr>
          <w:p w14:paraId="589E6623">
            <w:pPr>
              <w:keepNext/>
              <w:keepLines w:val="0"/>
              <w:pageBreakBefore w:val="0"/>
              <w:widowControl/>
              <w:suppressLineNumbers w:val="0"/>
              <w:kinsoku/>
              <w:wordWrap/>
              <w:overflowPunct/>
              <w:topLinePunct w:val="0"/>
              <w:autoSpaceDE/>
              <w:autoSpaceDN/>
              <w:bidi w:val="0"/>
              <w:adjustRightInd/>
              <w:snapToGrid w:val="0"/>
              <w:spacing w:line="240" w:lineRule="auto"/>
              <w:ind w:left="0" w:right="0" w:firstLine="0" w:leftChars="0" w:rightChars="0" w:firstLineChars="0"/>
              <w:jc w:val="center"/>
              <w:textAlignment w:val="auto"/>
              <w:rPr>
                <w:rFonts w:ascii="宋体" w:eastAsia="宋体"/>
                <w:b/>
                <w:bCs/>
                <w:i w:val="0"/>
                <w:color w:val="4874CB" w:themeColor="accent1"/>
                <w:sz w:val="18"/>
                <w:szCs w:val="18"/>
                <w14:textFill>
                  <w14:solidFill>
                    <w14:schemeClr w14:val="accent1"/>
                  </w14:solidFill>
                </w14:textFill>
              </w:rPr>
            </w:pPr>
            <w:r>
              <w:rPr>
                <w:rFonts w:ascii="宋体" w:eastAsia="宋体" w:hAnsi="宋体" w:cs="宋体"/>
                <w:b/>
                <w:bCs/>
                <w:i w:val="0"/>
                <w:color w:val="4874CB" w:themeColor="accent1"/>
                <w:kern w:val="0"/>
                <w:sz w:val="18"/>
                <w:szCs w:val="18"/>
                <w:lang w:val="en-US" w:eastAsia="zh-CN" w:bidi="ar"/>
                <w14:textFill>
                  <w14:solidFill>
                    <w14:schemeClr w14:val="accent1"/>
                  </w14:solidFill>
                </w14:textFill>
              </w:rPr>
              <w:t>教育价值方向</w:t>
            </w:r>
          </w:p>
        </w:tc>
        <w:tc>
          <w:tcPr>
            <w:tcW w:w="1350" w:type="dxa"/>
            <w:tcBorders>
              <w:top w:val="single" w:sz="12" w:space="0" w:color="4874CB" w:themeColor="accent1"/>
              <w:left w:val="nil"/>
              <w:bottom w:val="single" w:sz="6" w:space="0" w:color="4874CB" w:themeColor="accent1"/>
              <w:right w:val="nil"/>
            </w:tcBorders>
            <w:shd w:val="clear" w:color="auto" w:fill="FFFFFF"/>
            <w:noWrap w:val="0"/>
            <w:tcMar>
              <w:top w:w="120" w:type="dxa"/>
              <w:left w:w="120" w:type="dxa"/>
              <w:bottom w:w="120" w:type="dxa"/>
              <w:right w:w="120" w:type="dxa"/>
            </w:tcMar>
            <w:vAlign w:val="center"/>
          </w:tcPr>
          <w:p w14:paraId="50A7A092">
            <w:pPr>
              <w:keepNext/>
              <w:keepLines w:val="0"/>
              <w:pageBreakBefore w:val="0"/>
              <w:widowControl/>
              <w:suppressLineNumbers w:val="0"/>
              <w:kinsoku/>
              <w:wordWrap/>
              <w:overflowPunct/>
              <w:topLinePunct w:val="0"/>
              <w:autoSpaceDE/>
              <w:autoSpaceDN/>
              <w:bidi w:val="0"/>
              <w:adjustRightInd/>
              <w:snapToGrid w:val="0"/>
              <w:spacing w:line="240" w:lineRule="auto"/>
              <w:ind w:left="0" w:right="0" w:firstLine="0" w:leftChars="0" w:rightChars="0" w:firstLineChars="0"/>
              <w:jc w:val="center"/>
              <w:textAlignment w:val="auto"/>
              <w:rPr>
                <w:rFonts w:ascii="宋体" w:eastAsia="宋体"/>
                <w:b/>
                <w:bCs/>
                <w:i w:val="0"/>
                <w:color w:val="4874CB" w:themeColor="accent1"/>
                <w:sz w:val="18"/>
                <w:szCs w:val="18"/>
                <w14:textFill>
                  <w14:solidFill>
                    <w14:schemeClr w14:val="accent1"/>
                  </w14:solidFill>
                </w14:textFill>
              </w:rPr>
            </w:pPr>
            <w:r>
              <w:rPr>
                <w:rFonts w:ascii="宋体" w:eastAsia="宋体" w:hAnsi="宋体" w:cs="宋体"/>
                <w:b/>
                <w:bCs/>
                <w:i w:val="0"/>
                <w:color w:val="4874CB" w:themeColor="accent1"/>
                <w:kern w:val="0"/>
                <w:sz w:val="18"/>
                <w:szCs w:val="18"/>
                <w:lang w:val="en-US" w:eastAsia="zh-CN" w:bidi="ar"/>
                <w14:textFill>
                  <w14:solidFill>
                    <w14:schemeClr w14:val="accent1"/>
                  </w14:solidFill>
                </w14:textFill>
              </w:rPr>
              <w:t>适配教学板块</w:t>
            </w:r>
          </w:p>
        </w:tc>
      </w:tr>
      <w:tr w14:paraId="26AB88FF">
        <w:tblPrEx>
          <w:tblW w:w="8462" w:type="dxa"/>
          <w:jc w:val="center"/>
          <w:shd w:val="clear" w:color="auto" w:fill="auto"/>
          <w:tblLayout w:type="fixed"/>
          <w:tblCellMar>
            <w:top w:w="15" w:type="dxa"/>
            <w:left w:w="15" w:type="dxa"/>
            <w:bottom w:w="15" w:type="dxa"/>
            <w:right w:w="15" w:type="dxa"/>
          </w:tblCellMar>
        </w:tblPrEx>
        <w:trPr>
          <w:trHeight w:hRule="auto" w:val="0"/>
          <w:jc w:val="center"/>
        </w:trPr>
        <w:tc>
          <w:tcPr>
            <w:tcW w:w="1069" w:type="dxa"/>
            <w:tcBorders>
              <w:top w:val="single" w:sz="6" w:space="0" w:color="4874CB" w:themeColor="accent1"/>
              <w:left w:val="nil"/>
              <w:bottom w:val="nil"/>
              <w:right w:val="nil"/>
            </w:tcBorders>
            <w:shd w:val="clear" w:color="auto" w:fill="FFFFFF"/>
            <w:noWrap w:val="0"/>
            <w:tcMar>
              <w:top w:w="120" w:type="dxa"/>
              <w:left w:w="120" w:type="dxa"/>
              <w:bottom w:w="120" w:type="dxa"/>
              <w:right w:w="120" w:type="dxa"/>
            </w:tcMar>
            <w:vAlign w:val="center"/>
          </w:tcPr>
          <w:p w14:paraId="343B0F44">
            <w:pPr>
              <w:keepNext/>
              <w:keepLines w:val="0"/>
              <w:pageBreakBefore w:val="0"/>
              <w:widowControl/>
              <w:suppressLineNumbers w:val="0"/>
              <w:kinsoku/>
              <w:wordWrap/>
              <w:overflowPunct/>
              <w:topLinePunct w:val="0"/>
              <w:autoSpaceDE/>
              <w:autoSpaceDN/>
              <w:bidi w:val="0"/>
              <w:adjustRightInd/>
              <w:snapToGrid w:val="0"/>
              <w:spacing w:line="240" w:lineRule="auto"/>
              <w:ind w:left="0" w:right="0" w:firstLine="0" w:leftChars="0" w:rightChars="0" w:firstLineChars="0"/>
              <w:jc w:val="left"/>
              <w:textAlignment w:val="auto"/>
              <w:rPr>
                <w:rFonts w:ascii="宋体" w:eastAsia="宋体"/>
                <w:b w:val="0"/>
                <w:i w:val="0"/>
                <w:color w:val="08090C"/>
                <w:sz w:val="18"/>
                <w:szCs w:val="18"/>
              </w:rPr>
            </w:pPr>
            <w:r>
              <w:rPr>
                <w:rFonts w:ascii="宋体" w:eastAsia="宋体" w:hAnsi="宋体" w:cs="宋体"/>
                <w:b w:val="0"/>
                <w:i w:val="0"/>
                <w:color w:val="08090C"/>
                <w:kern w:val="0"/>
                <w:sz w:val="18"/>
                <w:szCs w:val="18"/>
                <w:lang w:val="en-US" w:eastAsia="zh-CN" w:bidi="ar"/>
              </w:rPr>
              <w:t>堆云洞河东特委旧址</w:t>
            </w:r>
          </w:p>
        </w:tc>
        <w:tc>
          <w:tcPr>
            <w:tcW w:w="1001" w:type="dxa"/>
            <w:tcBorders>
              <w:top w:val="single" w:sz="6" w:space="0" w:color="4874CB" w:themeColor="accent1"/>
              <w:left w:val="nil"/>
              <w:bottom w:val="nil"/>
              <w:right w:val="nil"/>
            </w:tcBorders>
            <w:shd w:val="clear" w:color="auto" w:fill="FFFFFF"/>
            <w:noWrap w:val="0"/>
            <w:tcMar>
              <w:top w:w="120" w:type="dxa"/>
              <w:left w:w="120" w:type="dxa"/>
              <w:bottom w:w="120" w:type="dxa"/>
              <w:right w:w="120" w:type="dxa"/>
            </w:tcMar>
            <w:vAlign w:val="center"/>
          </w:tcPr>
          <w:p w14:paraId="178C214F">
            <w:pPr>
              <w:keepNext/>
              <w:keepLines w:val="0"/>
              <w:pageBreakBefore w:val="0"/>
              <w:widowControl/>
              <w:suppressLineNumbers w:val="0"/>
              <w:kinsoku/>
              <w:wordWrap/>
              <w:overflowPunct/>
              <w:topLinePunct w:val="0"/>
              <w:autoSpaceDE/>
              <w:autoSpaceDN/>
              <w:bidi w:val="0"/>
              <w:adjustRightInd/>
              <w:snapToGrid w:val="0"/>
              <w:spacing w:line="240" w:lineRule="auto"/>
              <w:ind w:left="0" w:right="0" w:firstLine="0" w:leftChars="0" w:rightChars="0" w:firstLineChars="0"/>
              <w:jc w:val="left"/>
              <w:textAlignment w:val="auto"/>
              <w:rPr>
                <w:rFonts w:ascii="宋体" w:eastAsia="宋体"/>
                <w:b w:val="0"/>
                <w:i w:val="0"/>
                <w:color w:val="08090C"/>
                <w:sz w:val="18"/>
                <w:szCs w:val="18"/>
              </w:rPr>
            </w:pPr>
            <w:r>
              <w:rPr>
                <w:rFonts w:ascii="宋体" w:eastAsia="宋体" w:hAnsi="宋体" w:cs="宋体"/>
                <w:b w:val="0"/>
                <w:i w:val="0"/>
                <w:color w:val="08090C"/>
                <w:kern w:val="0"/>
                <w:sz w:val="18"/>
                <w:szCs w:val="18"/>
                <w:lang w:val="en-US" w:eastAsia="zh-CN" w:bidi="ar"/>
              </w:rPr>
              <w:t>夏县</w:t>
            </w:r>
          </w:p>
        </w:tc>
        <w:tc>
          <w:tcPr>
            <w:tcW w:w="2499" w:type="dxa"/>
            <w:tcBorders>
              <w:top w:val="single" w:sz="6" w:space="0" w:color="4874CB" w:themeColor="accent1"/>
              <w:left w:val="nil"/>
              <w:bottom w:val="nil"/>
              <w:right w:val="nil"/>
            </w:tcBorders>
            <w:shd w:val="clear" w:color="auto" w:fill="FFFFFF"/>
            <w:noWrap w:val="0"/>
            <w:tcMar>
              <w:top w:w="120" w:type="dxa"/>
              <w:left w:w="120" w:type="dxa"/>
              <w:bottom w:w="120" w:type="dxa"/>
              <w:right w:w="120" w:type="dxa"/>
            </w:tcMar>
            <w:vAlign w:val="center"/>
          </w:tcPr>
          <w:p w14:paraId="06A5964E">
            <w:pPr>
              <w:keepNext/>
              <w:keepLines w:val="0"/>
              <w:pageBreakBefore w:val="0"/>
              <w:widowControl/>
              <w:suppressLineNumbers w:val="0"/>
              <w:kinsoku/>
              <w:wordWrap/>
              <w:overflowPunct/>
              <w:topLinePunct w:val="0"/>
              <w:autoSpaceDE/>
              <w:autoSpaceDN/>
              <w:bidi w:val="0"/>
              <w:adjustRightInd/>
              <w:snapToGrid w:val="0"/>
              <w:spacing w:line="240" w:lineRule="auto"/>
              <w:ind w:left="0" w:right="0" w:firstLine="0" w:leftChars="0" w:rightChars="0" w:firstLineChars="0"/>
              <w:jc w:val="left"/>
              <w:textAlignment w:val="auto"/>
              <w:rPr>
                <w:rFonts w:ascii="宋体" w:eastAsia="宋体"/>
                <w:b w:val="0"/>
                <w:i w:val="0"/>
                <w:color w:val="08090C"/>
                <w:sz w:val="18"/>
                <w:szCs w:val="18"/>
              </w:rPr>
            </w:pPr>
            <w:r>
              <w:rPr>
                <w:rFonts w:ascii="宋体" w:eastAsia="宋体" w:hAnsi="宋体" w:cs="宋体"/>
                <w:b w:val="0"/>
                <w:i w:val="0"/>
                <w:color w:val="08090C"/>
                <w:kern w:val="0"/>
                <w:sz w:val="18"/>
                <w:szCs w:val="18"/>
                <w:lang w:val="en-US" w:eastAsia="zh-CN" w:bidi="ar"/>
              </w:rPr>
              <w:t>嘉康杰等人在此建立地下党组织，设立秘密印刷点、隐蔽通道，长期开展晋南革命宣传与组织发展</w:t>
            </w:r>
          </w:p>
        </w:tc>
        <w:tc>
          <w:tcPr>
            <w:tcW w:w="2543" w:type="dxa"/>
            <w:tcBorders>
              <w:top w:val="single" w:sz="6" w:space="0" w:color="4874CB" w:themeColor="accent1"/>
              <w:left w:val="nil"/>
              <w:bottom w:val="nil"/>
              <w:right w:val="nil"/>
            </w:tcBorders>
            <w:shd w:val="clear" w:color="auto" w:fill="FFFFFF"/>
            <w:noWrap w:val="0"/>
            <w:tcMar>
              <w:top w:w="120" w:type="dxa"/>
              <w:left w:w="120" w:type="dxa"/>
              <w:bottom w:w="120" w:type="dxa"/>
              <w:right w:w="120" w:type="dxa"/>
            </w:tcMar>
            <w:vAlign w:val="center"/>
          </w:tcPr>
          <w:p w14:paraId="6F163995">
            <w:pPr>
              <w:keepNext/>
              <w:keepLines w:val="0"/>
              <w:pageBreakBefore w:val="0"/>
              <w:widowControl/>
              <w:suppressLineNumbers w:val="0"/>
              <w:kinsoku/>
              <w:wordWrap/>
              <w:overflowPunct/>
              <w:topLinePunct w:val="0"/>
              <w:autoSpaceDE/>
              <w:autoSpaceDN/>
              <w:bidi w:val="0"/>
              <w:adjustRightInd/>
              <w:snapToGrid w:val="0"/>
              <w:spacing w:line="240" w:lineRule="auto"/>
              <w:ind w:left="0" w:right="0" w:firstLine="0" w:leftChars="0" w:rightChars="0" w:firstLineChars="0"/>
              <w:jc w:val="left"/>
              <w:textAlignment w:val="auto"/>
              <w:rPr>
                <w:rFonts w:ascii="宋体" w:eastAsia="宋体"/>
                <w:b w:val="0"/>
                <w:i w:val="0"/>
                <w:color w:val="08090C"/>
                <w:sz w:val="18"/>
                <w:szCs w:val="18"/>
              </w:rPr>
            </w:pPr>
            <w:r>
              <w:rPr>
                <w:rFonts w:ascii="宋体" w:eastAsia="宋体" w:hAnsi="宋体" w:cs="宋体"/>
                <w:b w:val="0"/>
                <w:i w:val="0"/>
                <w:color w:val="08090C"/>
                <w:kern w:val="0"/>
                <w:sz w:val="18"/>
                <w:szCs w:val="18"/>
                <w:lang w:val="en-US" w:eastAsia="zh-CN" w:bidi="ar"/>
              </w:rPr>
              <w:t>读懂早期共产党人在艰苦环境下的信仰坚守，理解河东革命火种的萌发</w:t>
            </w:r>
          </w:p>
        </w:tc>
        <w:tc>
          <w:tcPr>
            <w:tcW w:w="1350" w:type="dxa"/>
            <w:tcBorders>
              <w:top w:val="single" w:sz="6" w:space="0" w:color="4874CB" w:themeColor="accent1"/>
              <w:left w:val="nil"/>
              <w:bottom w:val="nil"/>
              <w:right w:val="nil"/>
            </w:tcBorders>
            <w:shd w:val="clear" w:color="auto" w:fill="FFFFFF"/>
            <w:noWrap w:val="0"/>
            <w:tcMar>
              <w:top w:w="120" w:type="dxa"/>
              <w:left w:w="120" w:type="dxa"/>
              <w:bottom w:w="120" w:type="dxa"/>
              <w:right w:w="120" w:type="dxa"/>
            </w:tcMar>
            <w:vAlign w:val="center"/>
          </w:tcPr>
          <w:p w14:paraId="3FD920B9">
            <w:pPr>
              <w:keepNext/>
              <w:keepLines w:val="0"/>
              <w:pageBreakBefore w:val="0"/>
              <w:widowControl/>
              <w:suppressLineNumbers w:val="0"/>
              <w:kinsoku/>
              <w:wordWrap/>
              <w:overflowPunct/>
              <w:topLinePunct w:val="0"/>
              <w:autoSpaceDE/>
              <w:autoSpaceDN/>
              <w:bidi w:val="0"/>
              <w:adjustRightInd/>
              <w:snapToGrid w:val="0"/>
              <w:spacing w:line="240" w:lineRule="auto"/>
              <w:ind w:left="0" w:right="0" w:firstLine="0" w:leftChars="0" w:rightChars="0" w:firstLineChars="0"/>
              <w:jc w:val="left"/>
              <w:textAlignment w:val="auto"/>
              <w:rPr>
                <w:rFonts w:ascii="宋体" w:eastAsia="宋体"/>
                <w:b w:val="0"/>
                <w:i w:val="0"/>
                <w:color w:val="08090C"/>
                <w:sz w:val="18"/>
                <w:szCs w:val="18"/>
              </w:rPr>
            </w:pPr>
            <w:r>
              <w:rPr>
                <w:rFonts w:ascii="宋体" w:eastAsia="宋体" w:hAnsi="宋体" w:cs="宋体"/>
                <w:b w:val="0"/>
                <w:i w:val="0"/>
                <w:color w:val="08090C"/>
                <w:kern w:val="0"/>
                <w:sz w:val="18"/>
                <w:szCs w:val="18"/>
                <w:lang w:val="en-US" w:eastAsia="zh-CN" w:bidi="ar"/>
              </w:rPr>
              <w:t>中国共产党的诞生与早期革命活动</w:t>
            </w:r>
          </w:p>
        </w:tc>
      </w:tr>
      <w:tr w14:paraId="0462DE90">
        <w:tblPrEx>
          <w:tblW w:w="8462" w:type="dxa"/>
          <w:jc w:val="center"/>
          <w:shd w:val="clear" w:color="auto" w:fill="auto"/>
          <w:tblLayout w:type="fixed"/>
          <w:tblCellMar>
            <w:top w:w="15" w:type="dxa"/>
            <w:left w:w="15" w:type="dxa"/>
            <w:bottom w:w="15" w:type="dxa"/>
            <w:right w:w="15" w:type="dxa"/>
          </w:tblCellMar>
        </w:tblPrEx>
        <w:trPr>
          <w:trHeight w:hRule="auto" w:val="0"/>
          <w:jc w:val="center"/>
        </w:trPr>
        <w:tc>
          <w:tcPr>
            <w:tcW w:w="1069" w:type="dxa"/>
            <w:tcBorders>
              <w:top w:val="nil"/>
              <w:left w:val="nil"/>
              <w:bottom w:val="nil"/>
              <w:right w:val="nil"/>
            </w:tcBorders>
            <w:shd w:val="clear" w:color="auto" w:fill="FFFFFF"/>
            <w:noWrap w:val="0"/>
            <w:tcMar>
              <w:top w:w="120" w:type="dxa"/>
              <w:left w:w="120" w:type="dxa"/>
              <w:bottom w:w="120" w:type="dxa"/>
              <w:right w:w="120" w:type="dxa"/>
            </w:tcMar>
            <w:vAlign w:val="center"/>
          </w:tcPr>
          <w:p w14:paraId="27551857">
            <w:pPr>
              <w:keepNext/>
              <w:keepLines w:val="0"/>
              <w:pageBreakBefore w:val="0"/>
              <w:widowControl/>
              <w:suppressLineNumbers w:val="0"/>
              <w:kinsoku/>
              <w:wordWrap/>
              <w:overflowPunct/>
              <w:topLinePunct w:val="0"/>
              <w:autoSpaceDE/>
              <w:autoSpaceDN/>
              <w:bidi w:val="0"/>
              <w:adjustRightInd/>
              <w:snapToGrid w:val="0"/>
              <w:spacing w:line="240" w:lineRule="auto"/>
              <w:ind w:left="0" w:right="0" w:firstLine="0" w:leftChars="0" w:rightChars="0" w:firstLineChars="0"/>
              <w:jc w:val="left"/>
              <w:textAlignment w:val="auto"/>
              <w:rPr>
                <w:rFonts w:ascii="宋体" w:eastAsia="宋体"/>
                <w:b w:val="0"/>
                <w:i w:val="0"/>
                <w:color w:val="08090C"/>
                <w:sz w:val="18"/>
                <w:szCs w:val="18"/>
              </w:rPr>
            </w:pPr>
            <w:r>
              <w:rPr>
                <w:rFonts w:ascii="宋体" w:eastAsia="宋体" w:hAnsi="宋体" w:cs="宋体"/>
                <w:b w:val="0"/>
                <w:i w:val="0"/>
                <w:color w:val="08090C"/>
                <w:kern w:val="0"/>
                <w:sz w:val="18"/>
                <w:szCs w:val="18"/>
                <w:lang w:val="en-US" w:eastAsia="zh-CN" w:bidi="ar"/>
              </w:rPr>
              <w:t>八路军太岳纪念馆</w:t>
            </w:r>
          </w:p>
        </w:tc>
        <w:tc>
          <w:tcPr>
            <w:tcW w:w="1001" w:type="dxa"/>
            <w:tcBorders>
              <w:top w:val="nil"/>
              <w:left w:val="nil"/>
              <w:bottom w:val="nil"/>
              <w:right w:val="nil"/>
            </w:tcBorders>
            <w:shd w:val="clear" w:color="auto" w:fill="FFFFFF"/>
            <w:noWrap w:val="0"/>
            <w:tcMar>
              <w:top w:w="120" w:type="dxa"/>
              <w:left w:w="120" w:type="dxa"/>
              <w:bottom w:w="120" w:type="dxa"/>
              <w:right w:w="120" w:type="dxa"/>
            </w:tcMar>
            <w:vAlign w:val="center"/>
          </w:tcPr>
          <w:p w14:paraId="33AFA916">
            <w:pPr>
              <w:keepNext/>
              <w:keepLines w:val="0"/>
              <w:pageBreakBefore w:val="0"/>
              <w:widowControl/>
              <w:suppressLineNumbers w:val="0"/>
              <w:kinsoku/>
              <w:wordWrap/>
              <w:overflowPunct/>
              <w:topLinePunct w:val="0"/>
              <w:autoSpaceDE/>
              <w:autoSpaceDN/>
              <w:bidi w:val="0"/>
              <w:adjustRightInd/>
              <w:snapToGrid w:val="0"/>
              <w:spacing w:line="240" w:lineRule="auto"/>
              <w:ind w:left="0" w:right="0" w:firstLine="0" w:leftChars="0" w:rightChars="0" w:firstLineChars="0"/>
              <w:jc w:val="left"/>
              <w:textAlignment w:val="auto"/>
              <w:rPr>
                <w:rFonts w:ascii="宋体" w:eastAsia="宋体"/>
                <w:b w:val="0"/>
                <w:i w:val="0"/>
                <w:color w:val="08090C"/>
                <w:sz w:val="18"/>
                <w:szCs w:val="18"/>
              </w:rPr>
            </w:pPr>
            <w:r>
              <w:rPr>
                <w:rFonts w:ascii="宋体" w:eastAsia="宋体" w:hAnsi="宋体" w:cs="宋体"/>
                <w:b w:val="0"/>
                <w:i w:val="0"/>
                <w:color w:val="08090C"/>
                <w:kern w:val="0"/>
                <w:sz w:val="18"/>
                <w:szCs w:val="18"/>
                <w:lang w:val="en-US" w:eastAsia="zh-CN" w:bidi="ar"/>
              </w:rPr>
              <w:t>盐湖区</w:t>
            </w:r>
          </w:p>
        </w:tc>
        <w:tc>
          <w:tcPr>
            <w:tcW w:w="2499" w:type="dxa"/>
            <w:tcBorders>
              <w:top w:val="nil"/>
              <w:left w:val="nil"/>
              <w:bottom w:val="nil"/>
              <w:right w:val="nil"/>
            </w:tcBorders>
            <w:shd w:val="clear" w:color="auto" w:fill="FFFFFF"/>
            <w:noWrap w:val="0"/>
            <w:tcMar>
              <w:top w:w="120" w:type="dxa"/>
              <w:left w:w="120" w:type="dxa"/>
              <w:bottom w:w="120" w:type="dxa"/>
              <w:right w:w="120" w:type="dxa"/>
            </w:tcMar>
            <w:vAlign w:val="center"/>
          </w:tcPr>
          <w:p w14:paraId="41ECC823">
            <w:pPr>
              <w:keepNext/>
              <w:keepLines w:val="0"/>
              <w:pageBreakBefore w:val="0"/>
              <w:widowControl/>
              <w:suppressLineNumbers w:val="0"/>
              <w:kinsoku/>
              <w:wordWrap/>
              <w:overflowPunct/>
              <w:topLinePunct w:val="0"/>
              <w:autoSpaceDE/>
              <w:autoSpaceDN/>
              <w:bidi w:val="0"/>
              <w:adjustRightInd/>
              <w:snapToGrid w:val="0"/>
              <w:spacing w:line="240" w:lineRule="auto"/>
              <w:ind w:left="0" w:right="0" w:firstLine="0" w:leftChars="0" w:rightChars="0" w:firstLineChars="0"/>
              <w:jc w:val="left"/>
              <w:textAlignment w:val="auto"/>
              <w:rPr>
                <w:rFonts w:ascii="宋体" w:eastAsia="宋体"/>
                <w:b w:val="0"/>
                <w:i w:val="0"/>
                <w:color w:val="08090C"/>
                <w:sz w:val="18"/>
                <w:szCs w:val="18"/>
              </w:rPr>
            </w:pPr>
            <w:r>
              <w:rPr>
                <w:rFonts w:ascii="宋体" w:eastAsia="宋体" w:hAnsi="宋体" w:cs="宋体"/>
                <w:b w:val="0"/>
                <w:i w:val="0"/>
                <w:color w:val="08090C"/>
                <w:kern w:val="0"/>
                <w:sz w:val="18"/>
                <w:szCs w:val="18"/>
                <w:lang w:val="en-US" w:eastAsia="zh-CN" w:bidi="ar"/>
              </w:rPr>
              <w:t>记录太岳根据地游击作战、地下情报传递、军民互助支援前线的完整历程</w:t>
            </w:r>
          </w:p>
        </w:tc>
        <w:tc>
          <w:tcPr>
            <w:tcW w:w="2543" w:type="dxa"/>
            <w:tcBorders>
              <w:top w:val="nil"/>
              <w:left w:val="nil"/>
              <w:bottom w:val="nil"/>
              <w:right w:val="nil"/>
            </w:tcBorders>
            <w:shd w:val="clear" w:color="auto" w:fill="FFFFFF"/>
            <w:noWrap w:val="0"/>
            <w:tcMar>
              <w:top w:w="120" w:type="dxa"/>
              <w:left w:w="120" w:type="dxa"/>
              <w:bottom w:w="120" w:type="dxa"/>
              <w:right w:w="120" w:type="dxa"/>
            </w:tcMar>
            <w:vAlign w:val="center"/>
          </w:tcPr>
          <w:p w14:paraId="4BF64EA2">
            <w:pPr>
              <w:keepNext/>
              <w:keepLines w:val="0"/>
              <w:pageBreakBefore w:val="0"/>
              <w:widowControl/>
              <w:suppressLineNumbers w:val="0"/>
              <w:kinsoku/>
              <w:wordWrap/>
              <w:overflowPunct/>
              <w:topLinePunct w:val="0"/>
              <w:autoSpaceDE/>
              <w:autoSpaceDN/>
              <w:bidi w:val="0"/>
              <w:adjustRightInd/>
              <w:snapToGrid w:val="0"/>
              <w:spacing w:line="240" w:lineRule="auto"/>
              <w:ind w:left="0" w:right="0" w:firstLine="0" w:leftChars="0" w:rightChars="0" w:firstLineChars="0"/>
              <w:jc w:val="left"/>
              <w:textAlignment w:val="auto"/>
              <w:rPr>
                <w:rFonts w:ascii="宋体" w:eastAsia="宋体"/>
                <w:b w:val="0"/>
                <w:i w:val="0"/>
                <w:color w:val="08090C"/>
                <w:sz w:val="18"/>
                <w:szCs w:val="18"/>
              </w:rPr>
            </w:pPr>
            <w:r>
              <w:rPr>
                <w:rFonts w:ascii="宋体" w:eastAsia="宋体" w:hAnsi="宋体" w:cs="宋体"/>
                <w:b w:val="0"/>
                <w:i w:val="0"/>
                <w:color w:val="08090C"/>
                <w:kern w:val="0"/>
                <w:sz w:val="18"/>
                <w:szCs w:val="18"/>
                <w:lang w:val="en-US" w:eastAsia="zh-CN" w:bidi="ar"/>
              </w:rPr>
              <w:t>认清敌后根据地的生存模式，体会军民一体的革命底色</w:t>
            </w:r>
          </w:p>
        </w:tc>
        <w:tc>
          <w:tcPr>
            <w:tcW w:w="1350" w:type="dxa"/>
            <w:tcBorders>
              <w:top w:val="nil"/>
              <w:left w:val="nil"/>
              <w:bottom w:val="nil"/>
              <w:right w:val="nil"/>
            </w:tcBorders>
            <w:shd w:val="clear" w:color="auto" w:fill="FFFFFF"/>
            <w:noWrap w:val="0"/>
            <w:tcMar>
              <w:top w:w="120" w:type="dxa"/>
              <w:left w:w="120" w:type="dxa"/>
              <w:bottom w:w="120" w:type="dxa"/>
              <w:right w:w="120" w:type="dxa"/>
            </w:tcMar>
            <w:vAlign w:val="center"/>
          </w:tcPr>
          <w:p w14:paraId="5BA52B0C">
            <w:pPr>
              <w:keepNext/>
              <w:keepLines w:val="0"/>
              <w:pageBreakBefore w:val="0"/>
              <w:widowControl/>
              <w:suppressLineNumbers w:val="0"/>
              <w:kinsoku/>
              <w:wordWrap/>
              <w:overflowPunct/>
              <w:topLinePunct w:val="0"/>
              <w:autoSpaceDE/>
              <w:autoSpaceDN/>
              <w:bidi w:val="0"/>
              <w:adjustRightInd/>
              <w:snapToGrid w:val="0"/>
              <w:spacing w:line="240" w:lineRule="auto"/>
              <w:ind w:left="0" w:right="0" w:firstLine="0" w:leftChars="0" w:rightChars="0" w:firstLineChars="0"/>
              <w:jc w:val="left"/>
              <w:textAlignment w:val="auto"/>
              <w:rPr>
                <w:rFonts w:ascii="宋体" w:eastAsia="宋体"/>
                <w:b w:val="0"/>
                <w:i w:val="0"/>
                <w:color w:val="08090C"/>
                <w:sz w:val="18"/>
                <w:szCs w:val="18"/>
              </w:rPr>
            </w:pPr>
            <w:r>
              <w:rPr>
                <w:rFonts w:ascii="宋体" w:eastAsia="宋体" w:hAnsi="宋体" w:cs="宋体"/>
                <w:b w:val="0"/>
                <w:i w:val="0"/>
                <w:color w:val="08090C"/>
                <w:kern w:val="0"/>
                <w:sz w:val="18"/>
                <w:szCs w:val="18"/>
                <w:lang w:val="en-US" w:eastAsia="zh-CN" w:bidi="ar"/>
              </w:rPr>
              <w:t>敌后战场的抗战</w:t>
            </w:r>
          </w:p>
        </w:tc>
      </w:tr>
      <w:tr w14:paraId="7B290059">
        <w:tblPrEx>
          <w:tblW w:w="8462" w:type="dxa"/>
          <w:jc w:val="center"/>
          <w:shd w:val="clear" w:color="auto" w:fill="auto"/>
          <w:tblLayout w:type="fixed"/>
          <w:tblCellMar>
            <w:top w:w="15" w:type="dxa"/>
            <w:left w:w="15" w:type="dxa"/>
            <w:bottom w:w="15" w:type="dxa"/>
            <w:right w:w="15" w:type="dxa"/>
          </w:tblCellMar>
        </w:tblPrEx>
        <w:trPr>
          <w:trHeight w:hRule="auto" w:val="0"/>
          <w:jc w:val="center"/>
        </w:trPr>
        <w:tc>
          <w:tcPr>
            <w:tcW w:w="1069" w:type="dxa"/>
            <w:tcBorders>
              <w:top w:val="nil"/>
              <w:left w:val="nil"/>
              <w:bottom w:val="nil"/>
              <w:right w:val="nil"/>
            </w:tcBorders>
            <w:shd w:val="clear" w:color="auto" w:fill="FFFFFF"/>
            <w:noWrap w:val="0"/>
            <w:tcMar>
              <w:top w:w="120" w:type="dxa"/>
              <w:left w:w="120" w:type="dxa"/>
              <w:bottom w:w="120" w:type="dxa"/>
              <w:right w:w="120" w:type="dxa"/>
            </w:tcMar>
            <w:vAlign w:val="center"/>
          </w:tcPr>
          <w:p w14:paraId="7ADF4BB7">
            <w:pPr>
              <w:keepNext/>
              <w:keepLines w:val="0"/>
              <w:pageBreakBefore w:val="0"/>
              <w:widowControl/>
              <w:suppressLineNumbers w:val="0"/>
              <w:kinsoku/>
              <w:wordWrap/>
              <w:overflowPunct/>
              <w:topLinePunct w:val="0"/>
              <w:autoSpaceDE/>
              <w:autoSpaceDN/>
              <w:bidi w:val="0"/>
              <w:adjustRightInd/>
              <w:snapToGrid w:val="0"/>
              <w:spacing w:line="240" w:lineRule="auto"/>
              <w:ind w:left="0" w:right="0" w:firstLine="0" w:leftChars="0" w:rightChars="0" w:firstLineChars="0"/>
              <w:jc w:val="left"/>
              <w:textAlignment w:val="auto"/>
              <w:rPr>
                <w:rFonts w:ascii="宋体" w:eastAsia="宋体"/>
                <w:b w:val="0"/>
                <w:i w:val="0"/>
                <w:color w:val="08090C"/>
                <w:sz w:val="18"/>
                <w:szCs w:val="18"/>
              </w:rPr>
            </w:pPr>
            <w:r>
              <w:rPr>
                <w:rFonts w:ascii="宋体" w:eastAsia="宋体" w:hAnsi="宋体" w:cs="宋体"/>
                <w:b w:val="0"/>
                <w:i w:val="0"/>
                <w:color w:val="08090C"/>
                <w:kern w:val="0"/>
                <w:sz w:val="18"/>
                <w:szCs w:val="18"/>
                <w:lang w:val="en-US" w:eastAsia="zh-CN" w:bidi="ar"/>
              </w:rPr>
              <w:t>荣河烈士陵园</w:t>
            </w:r>
          </w:p>
        </w:tc>
        <w:tc>
          <w:tcPr>
            <w:tcW w:w="1001" w:type="dxa"/>
            <w:tcBorders>
              <w:top w:val="nil"/>
              <w:left w:val="nil"/>
              <w:bottom w:val="nil"/>
              <w:right w:val="nil"/>
            </w:tcBorders>
            <w:shd w:val="clear" w:color="auto" w:fill="FFFFFF"/>
            <w:noWrap w:val="0"/>
            <w:tcMar>
              <w:top w:w="120" w:type="dxa"/>
              <w:left w:w="120" w:type="dxa"/>
              <w:bottom w:w="120" w:type="dxa"/>
              <w:right w:w="120" w:type="dxa"/>
            </w:tcMar>
            <w:vAlign w:val="center"/>
          </w:tcPr>
          <w:p w14:paraId="6258EF14">
            <w:pPr>
              <w:keepNext/>
              <w:keepLines w:val="0"/>
              <w:pageBreakBefore w:val="0"/>
              <w:widowControl/>
              <w:suppressLineNumbers w:val="0"/>
              <w:kinsoku/>
              <w:wordWrap/>
              <w:overflowPunct/>
              <w:topLinePunct w:val="0"/>
              <w:autoSpaceDE/>
              <w:autoSpaceDN/>
              <w:bidi w:val="0"/>
              <w:adjustRightInd/>
              <w:snapToGrid w:val="0"/>
              <w:spacing w:line="240" w:lineRule="auto"/>
              <w:ind w:left="0" w:right="0" w:firstLine="0" w:leftChars="0" w:rightChars="0" w:firstLineChars="0"/>
              <w:jc w:val="left"/>
              <w:textAlignment w:val="auto"/>
              <w:rPr>
                <w:rFonts w:ascii="宋体" w:eastAsia="宋体"/>
                <w:b w:val="0"/>
                <w:i w:val="0"/>
                <w:color w:val="08090C"/>
                <w:sz w:val="18"/>
                <w:szCs w:val="18"/>
              </w:rPr>
            </w:pPr>
            <w:r>
              <w:rPr>
                <w:rFonts w:ascii="宋体" w:eastAsia="宋体" w:hAnsi="宋体" w:cs="宋体"/>
                <w:b w:val="0"/>
                <w:i w:val="0"/>
                <w:color w:val="08090C"/>
                <w:kern w:val="0"/>
                <w:sz w:val="18"/>
                <w:szCs w:val="18"/>
                <w:lang w:val="en-US" w:eastAsia="zh-CN" w:bidi="ar"/>
              </w:rPr>
              <w:t>万荣县</w:t>
            </w:r>
          </w:p>
        </w:tc>
        <w:tc>
          <w:tcPr>
            <w:tcW w:w="2499" w:type="dxa"/>
            <w:tcBorders>
              <w:top w:val="nil"/>
              <w:left w:val="nil"/>
              <w:bottom w:val="nil"/>
              <w:right w:val="nil"/>
            </w:tcBorders>
            <w:shd w:val="clear" w:color="auto" w:fill="FFFFFF"/>
            <w:noWrap w:val="0"/>
            <w:tcMar>
              <w:top w:w="120" w:type="dxa"/>
              <w:left w:w="120" w:type="dxa"/>
              <w:bottom w:w="120" w:type="dxa"/>
              <w:right w:w="120" w:type="dxa"/>
            </w:tcMar>
            <w:vAlign w:val="center"/>
          </w:tcPr>
          <w:p w14:paraId="17779D7A">
            <w:pPr>
              <w:keepNext/>
              <w:keepLines w:val="0"/>
              <w:pageBreakBefore w:val="0"/>
              <w:widowControl/>
              <w:suppressLineNumbers w:val="0"/>
              <w:kinsoku/>
              <w:wordWrap/>
              <w:overflowPunct/>
              <w:topLinePunct w:val="0"/>
              <w:autoSpaceDE/>
              <w:autoSpaceDN/>
              <w:bidi w:val="0"/>
              <w:adjustRightInd/>
              <w:snapToGrid w:val="0"/>
              <w:spacing w:line="240" w:lineRule="auto"/>
              <w:ind w:left="0" w:right="0" w:firstLine="0" w:leftChars="0" w:rightChars="0" w:firstLineChars="0"/>
              <w:jc w:val="left"/>
              <w:textAlignment w:val="auto"/>
              <w:rPr>
                <w:rFonts w:ascii="宋体" w:eastAsia="宋体"/>
                <w:b w:val="0"/>
                <w:i w:val="0"/>
                <w:color w:val="08090C"/>
                <w:sz w:val="18"/>
                <w:szCs w:val="18"/>
              </w:rPr>
            </w:pPr>
            <w:r>
              <w:rPr>
                <w:rFonts w:ascii="宋体" w:eastAsia="宋体" w:hAnsi="宋体" w:cs="宋体"/>
                <w:b w:val="0"/>
                <w:i w:val="0"/>
                <w:color w:val="08090C"/>
                <w:kern w:val="0"/>
                <w:sz w:val="18"/>
                <w:szCs w:val="18"/>
                <w:lang w:val="en-US" w:eastAsia="zh-CN" w:bidi="ar"/>
              </w:rPr>
              <w:t>安葬本地抗战、解放战争牺牲烈士，留存烈士生平档案与战斗记录</w:t>
            </w:r>
          </w:p>
        </w:tc>
        <w:tc>
          <w:tcPr>
            <w:tcW w:w="2543" w:type="dxa"/>
            <w:tcBorders>
              <w:top w:val="nil"/>
              <w:left w:val="nil"/>
              <w:bottom w:val="nil"/>
              <w:right w:val="nil"/>
            </w:tcBorders>
            <w:shd w:val="clear" w:color="auto" w:fill="FFFFFF"/>
            <w:noWrap w:val="0"/>
            <w:tcMar>
              <w:top w:w="120" w:type="dxa"/>
              <w:left w:w="120" w:type="dxa"/>
              <w:bottom w:w="120" w:type="dxa"/>
              <w:right w:w="120" w:type="dxa"/>
            </w:tcMar>
            <w:vAlign w:val="center"/>
          </w:tcPr>
          <w:p w14:paraId="4B028AD2">
            <w:pPr>
              <w:keepNext/>
              <w:keepLines w:val="0"/>
              <w:pageBreakBefore w:val="0"/>
              <w:widowControl/>
              <w:suppressLineNumbers w:val="0"/>
              <w:kinsoku/>
              <w:wordWrap/>
              <w:overflowPunct/>
              <w:topLinePunct w:val="0"/>
              <w:autoSpaceDE/>
              <w:autoSpaceDN/>
              <w:bidi w:val="0"/>
              <w:adjustRightInd/>
              <w:snapToGrid w:val="0"/>
              <w:spacing w:line="240" w:lineRule="auto"/>
              <w:ind w:left="0" w:right="0" w:firstLine="0" w:leftChars="0" w:rightChars="0" w:firstLineChars="0"/>
              <w:jc w:val="left"/>
              <w:textAlignment w:val="auto"/>
              <w:rPr>
                <w:rFonts w:ascii="宋体" w:eastAsia="宋体"/>
                <w:b w:val="0"/>
                <w:i w:val="0"/>
                <w:color w:val="08090C"/>
                <w:sz w:val="18"/>
                <w:szCs w:val="18"/>
              </w:rPr>
            </w:pPr>
            <w:r>
              <w:rPr>
                <w:rFonts w:ascii="宋体" w:eastAsia="宋体" w:hAnsi="宋体" w:cs="宋体"/>
                <w:b w:val="0"/>
                <w:i w:val="0"/>
                <w:color w:val="08090C"/>
                <w:kern w:val="0"/>
                <w:sz w:val="18"/>
                <w:szCs w:val="18"/>
                <w:lang w:val="en-US" w:eastAsia="zh-CN" w:bidi="ar"/>
              </w:rPr>
              <w:t>触摸普通家乡先辈的牺牲选择，拉近学生和革命历史的距离</w:t>
            </w:r>
          </w:p>
        </w:tc>
        <w:tc>
          <w:tcPr>
            <w:tcW w:w="1350" w:type="dxa"/>
            <w:tcBorders>
              <w:top w:val="nil"/>
              <w:left w:val="nil"/>
              <w:bottom w:val="nil"/>
              <w:right w:val="nil"/>
            </w:tcBorders>
            <w:shd w:val="clear" w:color="auto" w:fill="FFFFFF"/>
            <w:noWrap w:val="0"/>
            <w:tcMar>
              <w:top w:w="120" w:type="dxa"/>
              <w:left w:w="120" w:type="dxa"/>
              <w:bottom w:w="120" w:type="dxa"/>
              <w:right w:w="120" w:type="dxa"/>
            </w:tcMar>
            <w:vAlign w:val="center"/>
          </w:tcPr>
          <w:p w14:paraId="241AF455">
            <w:pPr>
              <w:keepNext/>
              <w:keepLines w:val="0"/>
              <w:pageBreakBefore w:val="0"/>
              <w:widowControl/>
              <w:suppressLineNumbers w:val="0"/>
              <w:kinsoku/>
              <w:wordWrap/>
              <w:overflowPunct/>
              <w:topLinePunct w:val="0"/>
              <w:autoSpaceDE/>
              <w:autoSpaceDN/>
              <w:bidi w:val="0"/>
              <w:adjustRightInd/>
              <w:snapToGrid w:val="0"/>
              <w:spacing w:line="240" w:lineRule="auto"/>
              <w:ind w:left="0" w:right="0" w:firstLine="0" w:leftChars="0" w:rightChars="0" w:firstLineChars="0"/>
              <w:jc w:val="left"/>
              <w:textAlignment w:val="auto"/>
              <w:rPr>
                <w:rFonts w:ascii="宋体" w:eastAsia="宋体"/>
                <w:b w:val="0"/>
                <w:i w:val="0"/>
                <w:color w:val="08090C"/>
                <w:sz w:val="18"/>
                <w:szCs w:val="18"/>
              </w:rPr>
            </w:pPr>
            <w:r>
              <w:rPr>
                <w:rFonts w:ascii="宋体" w:eastAsia="宋体" w:hAnsi="宋体" w:cs="宋体"/>
                <w:b w:val="0"/>
                <w:i w:val="0"/>
                <w:color w:val="08090C"/>
                <w:kern w:val="0"/>
                <w:sz w:val="18"/>
                <w:szCs w:val="18"/>
                <w:lang w:val="en-US" w:eastAsia="zh-CN" w:bidi="ar"/>
              </w:rPr>
              <w:t>中华民族的抗日战争、人民解放战争</w:t>
            </w:r>
          </w:p>
        </w:tc>
      </w:tr>
      <w:tr w14:paraId="405C27CE">
        <w:tblPrEx>
          <w:tblW w:w="8462" w:type="dxa"/>
          <w:jc w:val="center"/>
          <w:shd w:val="clear" w:color="auto" w:fill="auto"/>
          <w:tblLayout w:type="fixed"/>
          <w:tblCellMar>
            <w:top w:w="15" w:type="dxa"/>
            <w:left w:w="15" w:type="dxa"/>
            <w:bottom w:w="15" w:type="dxa"/>
            <w:right w:w="15" w:type="dxa"/>
          </w:tblCellMar>
        </w:tblPrEx>
        <w:trPr>
          <w:trHeight w:hRule="auto" w:val="0"/>
          <w:jc w:val="center"/>
        </w:trPr>
        <w:tc>
          <w:tcPr>
            <w:tcW w:w="1069" w:type="dxa"/>
            <w:tcBorders>
              <w:top w:val="nil"/>
              <w:left w:val="nil"/>
              <w:bottom w:val="nil"/>
              <w:right w:val="nil"/>
            </w:tcBorders>
            <w:shd w:val="clear" w:color="auto" w:fill="FFFFFF"/>
            <w:noWrap w:val="0"/>
            <w:tcMar>
              <w:top w:w="120" w:type="dxa"/>
              <w:left w:w="120" w:type="dxa"/>
              <w:bottom w:w="120" w:type="dxa"/>
              <w:right w:w="120" w:type="dxa"/>
            </w:tcMar>
            <w:vAlign w:val="center"/>
          </w:tcPr>
          <w:p w14:paraId="5BF77503">
            <w:pPr>
              <w:keepNext/>
              <w:keepLines w:val="0"/>
              <w:pageBreakBefore w:val="0"/>
              <w:widowControl/>
              <w:suppressLineNumbers w:val="0"/>
              <w:kinsoku/>
              <w:wordWrap/>
              <w:overflowPunct/>
              <w:topLinePunct w:val="0"/>
              <w:autoSpaceDE/>
              <w:autoSpaceDN/>
              <w:bidi w:val="0"/>
              <w:adjustRightInd/>
              <w:snapToGrid w:val="0"/>
              <w:spacing w:line="240" w:lineRule="auto"/>
              <w:ind w:left="0" w:right="0" w:firstLine="0" w:leftChars="0" w:rightChars="0" w:firstLineChars="0"/>
              <w:jc w:val="left"/>
              <w:textAlignment w:val="auto"/>
              <w:rPr>
                <w:rFonts w:ascii="宋体" w:eastAsia="宋体"/>
                <w:b w:val="0"/>
                <w:i w:val="0"/>
                <w:color w:val="08090C"/>
                <w:sz w:val="18"/>
                <w:szCs w:val="18"/>
              </w:rPr>
            </w:pPr>
            <w:r>
              <w:rPr>
                <w:rFonts w:ascii="宋体" w:eastAsia="宋体" w:hAnsi="宋体" w:cs="宋体"/>
                <w:b w:val="0"/>
                <w:i w:val="0"/>
                <w:color w:val="08090C"/>
                <w:kern w:val="0"/>
                <w:sz w:val="18"/>
                <w:szCs w:val="18"/>
                <w:lang w:val="en-US" w:eastAsia="zh-CN" w:bidi="ar"/>
              </w:rPr>
              <w:t>三打运城支前故事</w:t>
            </w:r>
          </w:p>
        </w:tc>
        <w:tc>
          <w:tcPr>
            <w:tcW w:w="1001" w:type="dxa"/>
            <w:tcBorders>
              <w:top w:val="nil"/>
              <w:left w:val="nil"/>
              <w:bottom w:val="nil"/>
              <w:right w:val="nil"/>
            </w:tcBorders>
            <w:shd w:val="clear" w:color="auto" w:fill="FFFFFF"/>
            <w:noWrap w:val="0"/>
            <w:tcMar>
              <w:top w:w="120" w:type="dxa"/>
              <w:left w:w="120" w:type="dxa"/>
              <w:bottom w:w="120" w:type="dxa"/>
              <w:right w:w="120" w:type="dxa"/>
            </w:tcMar>
            <w:vAlign w:val="center"/>
          </w:tcPr>
          <w:p w14:paraId="4329895A">
            <w:pPr>
              <w:keepNext/>
              <w:keepLines w:val="0"/>
              <w:pageBreakBefore w:val="0"/>
              <w:widowControl/>
              <w:suppressLineNumbers w:val="0"/>
              <w:kinsoku/>
              <w:wordWrap/>
              <w:overflowPunct/>
              <w:topLinePunct w:val="0"/>
              <w:autoSpaceDE/>
              <w:autoSpaceDN/>
              <w:bidi w:val="0"/>
              <w:adjustRightInd/>
              <w:snapToGrid w:val="0"/>
              <w:spacing w:line="240" w:lineRule="auto"/>
              <w:ind w:left="0" w:right="0" w:firstLine="0" w:leftChars="0" w:rightChars="0" w:firstLineChars="0"/>
              <w:jc w:val="left"/>
              <w:textAlignment w:val="auto"/>
              <w:rPr>
                <w:rFonts w:ascii="宋体" w:eastAsia="宋体"/>
                <w:b w:val="0"/>
                <w:i w:val="0"/>
                <w:color w:val="08090C"/>
                <w:sz w:val="18"/>
                <w:szCs w:val="18"/>
              </w:rPr>
            </w:pPr>
            <w:r>
              <w:rPr>
                <w:rFonts w:ascii="宋体" w:eastAsia="宋体" w:hAnsi="宋体" w:cs="宋体"/>
                <w:b w:val="0"/>
                <w:i w:val="0"/>
                <w:color w:val="08090C"/>
                <w:kern w:val="0"/>
                <w:sz w:val="18"/>
                <w:szCs w:val="18"/>
                <w:lang w:val="en-US" w:eastAsia="zh-CN" w:bidi="ar"/>
              </w:rPr>
              <w:t>运城全域</w:t>
            </w:r>
          </w:p>
        </w:tc>
        <w:tc>
          <w:tcPr>
            <w:tcW w:w="2499" w:type="dxa"/>
            <w:tcBorders>
              <w:top w:val="nil"/>
              <w:left w:val="nil"/>
              <w:bottom w:val="nil"/>
              <w:right w:val="nil"/>
            </w:tcBorders>
            <w:shd w:val="clear" w:color="auto" w:fill="FFFFFF"/>
            <w:noWrap w:val="0"/>
            <w:tcMar>
              <w:top w:w="120" w:type="dxa"/>
              <w:left w:w="120" w:type="dxa"/>
              <w:bottom w:w="120" w:type="dxa"/>
              <w:right w:w="120" w:type="dxa"/>
            </w:tcMar>
            <w:vAlign w:val="center"/>
          </w:tcPr>
          <w:p w14:paraId="2F826FBC">
            <w:pPr>
              <w:keepNext/>
              <w:keepLines w:val="0"/>
              <w:pageBreakBefore w:val="0"/>
              <w:widowControl/>
              <w:suppressLineNumbers w:val="0"/>
              <w:kinsoku/>
              <w:wordWrap/>
              <w:overflowPunct/>
              <w:topLinePunct w:val="0"/>
              <w:autoSpaceDE/>
              <w:autoSpaceDN/>
              <w:bidi w:val="0"/>
              <w:adjustRightInd/>
              <w:snapToGrid w:val="0"/>
              <w:spacing w:line="240" w:lineRule="auto"/>
              <w:ind w:left="0" w:right="0" w:firstLine="0" w:leftChars="0" w:rightChars="0" w:firstLineChars="0"/>
              <w:jc w:val="left"/>
              <w:textAlignment w:val="auto"/>
              <w:rPr>
                <w:rFonts w:ascii="宋体" w:eastAsia="宋体"/>
                <w:b w:val="0"/>
                <w:i w:val="0"/>
                <w:color w:val="08090C"/>
                <w:sz w:val="18"/>
                <w:szCs w:val="18"/>
              </w:rPr>
            </w:pPr>
            <w:r>
              <w:rPr>
                <w:rFonts w:ascii="宋体" w:eastAsia="宋体" w:hAnsi="宋体" w:cs="宋体"/>
                <w:b w:val="0"/>
                <w:i w:val="0"/>
                <w:color w:val="08090C"/>
                <w:kern w:val="0"/>
                <w:sz w:val="18"/>
                <w:szCs w:val="18"/>
                <w:lang w:val="en-US" w:eastAsia="zh-CN" w:bidi="ar"/>
              </w:rPr>
              <w:t>运城百姓自发支援攻城作战，捐献门板、运送物资、抢救伤员，配合部队完成攻坚</w:t>
            </w:r>
          </w:p>
        </w:tc>
        <w:tc>
          <w:tcPr>
            <w:tcW w:w="2543" w:type="dxa"/>
            <w:tcBorders>
              <w:top w:val="nil"/>
              <w:left w:val="nil"/>
              <w:bottom w:val="nil"/>
              <w:right w:val="nil"/>
            </w:tcBorders>
            <w:shd w:val="clear" w:color="auto" w:fill="FFFFFF"/>
            <w:noWrap w:val="0"/>
            <w:tcMar>
              <w:top w:w="120" w:type="dxa"/>
              <w:left w:w="120" w:type="dxa"/>
              <w:bottom w:w="120" w:type="dxa"/>
              <w:right w:w="120" w:type="dxa"/>
            </w:tcMar>
            <w:vAlign w:val="center"/>
          </w:tcPr>
          <w:p w14:paraId="56A71BD3">
            <w:pPr>
              <w:keepNext/>
              <w:keepLines w:val="0"/>
              <w:pageBreakBefore w:val="0"/>
              <w:widowControl/>
              <w:suppressLineNumbers w:val="0"/>
              <w:kinsoku/>
              <w:wordWrap/>
              <w:overflowPunct/>
              <w:topLinePunct w:val="0"/>
              <w:autoSpaceDE/>
              <w:autoSpaceDN/>
              <w:bidi w:val="0"/>
              <w:adjustRightInd/>
              <w:snapToGrid w:val="0"/>
              <w:spacing w:line="240" w:lineRule="auto"/>
              <w:ind w:left="0" w:right="0" w:firstLine="0" w:leftChars="0" w:rightChars="0" w:firstLineChars="0"/>
              <w:jc w:val="left"/>
              <w:textAlignment w:val="auto"/>
              <w:rPr>
                <w:rFonts w:ascii="宋体" w:eastAsia="宋体"/>
                <w:b w:val="0"/>
                <w:i w:val="0"/>
                <w:color w:val="08090C"/>
                <w:sz w:val="18"/>
                <w:szCs w:val="18"/>
              </w:rPr>
            </w:pPr>
            <w:r>
              <w:rPr>
                <w:rFonts w:ascii="宋体" w:eastAsia="宋体" w:hAnsi="宋体" w:cs="宋体"/>
                <w:b w:val="0"/>
                <w:i w:val="0"/>
                <w:color w:val="08090C"/>
                <w:kern w:val="0"/>
                <w:sz w:val="18"/>
                <w:szCs w:val="18"/>
                <w:lang w:val="en-US" w:eastAsia="zh-CN" w:bidi="ar"/>
              </w:rPr>
              <w:t>看见普通民众在解放战争里的付出，理解人民战争的内涵</w:t>
            </w:r>
          </w:p>
        </w:tc>
        <w:tc>
          <w:tcPr>
            <w:tcW w:w="1350" w:type="dxa"/>
            <w:tcBorders>
              <w:top w:val="nil"/>
              <w:left w:val="nil"/>
              <w:bottom w:val="nil"/>
              <w:right w:val="nil"/>
            </w:tcBorders>
            <w:shd w:val="clear" w:color="auto" w:fill="FFFFFF"/>
            <w:noWrap w:val="0"/>
            <w:tcMar>
              <w:top w:w="120" w:type="dxa"/>
              <w:left w:w="120" w:type="dxa"/>
              <w:bottom w:w="120" w:type="dxa"/>
              <w:right w:w="120" w:type="dxa"/>
            </w:tcMar>
            <w:vAlign w:val="center"/>
          </w:tcPr>
          <w:p w14:paraId="01D89485">
            <w:pPr>
              <w:keepNext/>
              <w:keepLines w:val="0"/>
              <w:pageBreakBefore w:val="0"/>
              <w:widowControl/>
              <w:suppressLineNumbers w:val="0"/>
              <w:kinsoku/>
              <w:wordWrap/>
              <w:overflowPunct/>
              <w:topLinePunct w:val="0"/>
              <w:autoSpaceDE/>
              <w:autoSpaceDN/>
              <w:bidi w:val="0"/>
              <w:adjustRightInd/>
              <w:snapToGrid w:val="0"/>
              <w:spacing w:line="240" w:lineRule="auto"/>
              <w:ind w:left="0" w:right="0" w:firstLine="0" w:leftChars="0" w:rightChars="0" w:firstLineChars="0"/>
              <w:jc w:val="left"/>
              <w:textAlignment w:val="auto"/>
              <w:rPr>
                <w:rFonts w:ascii="宋体" w:eastAsia="宋体"/>
                <w:b w:val="0"/>
                <w:i w:val="0"/>
                <w:color w:val="08090C"/>
                <w:sz w:val="18"/>
                <w:szCs w:val="18"/>
              </w:rPr>
            </w:pPr>
            <w:r>
              <w:rPr>
                <w:rFonts w:ascii="宋体" w:eastAsia="宋体" w:hAnsi="宋体" w:cs="宋体"/>
                <w:b w:val="0"/>
                <w:i w:val="0"/>
                <w:color w:val="08090C"/>
                <w:kern w:val="0"/>
                <w:sz w:val="18"/>
                <w:szCs w:val="18"/>
                <w:lang w:val="en-US" w:eastAsia="zh-CN" w:bidi="ar"/>
              </w:rPr>
              <w:t>人民解放战争</w:t>
            </w:r>
          </w:p>
        </w:tc>
      </w:tr>
      <w:tr w14:paraId="1973C37A">
        <w:tblPrEx>
          <w:tblW w:w="8462" w:type="dxa"/>
          <w:jc w:val="center"/>
          <w:shd w:val="clear" w:color="auto" w:fill="auto"/>
          <w:tblLayout w:type="fixed"/>
          <w:tblCellMar>
            <w:top w:w="15" w:type="dxa"/>
            <w:left w:w="15" w:type="dxa"/>
            <w:bottom w:w="15" w:type="dxa"/>
            <w:right w:w="15" w:type="dxa"/>
          </w:tblCellMar>
        </w:tblPrEx>
        <w:trPr>
          <w:trHeight w:hRule="auto" w:val="0"/>
          <w:jc w:val="center"/>
        </w:trPr>
        <w:tc>
          <w:tcPr>
            <w:tcW w:w="1069" w:type="dxa"/>
            <w:tcBorders>
              <w:top w:val="nil"/>
              <w:left w:val="nil"/>
              <w:bottom w:val="nil"/>
              <w:right w:val="nil"/>
            </w:tcBorders>
            <w:shd w:val="clear" w:color="auto" w:fill="FFFFFF"/>
            <w:noWrap w:val="0"/>
            <w:tcMar>
              <w:top w:w="120" w:type="dxa"/>
              <w:left w:w="120" w:type="dxa"/>
              <w:bottom w:w="120" w:type="dxa"/>
              <w:right w:w="120" w:type="dxa"/>
            </w:tcMar>
            <w:vAlign w:val="center"/>
          </w:tcPr>
          <w:p w14:paraId="477BB401">
            <w:pPr>
              <w:keepNext/>
              <w:keepLines w:val="0"/>
              <w:pageBreakBefore w:val="0"/>
              <w:widowControl/>
              <w:suppressLineNumbers w:val="0"/>
              <w:kinsoku/>
              <w:wordWrap/>
              <w:overflowPunct/>
              <w:topLinePunct w:val="0"/>
              <w:autoSpaceDE/>
              <w:autoSpaceDN/>
              <w:bidi w:val="0"/>
              <w:adjustRightInd/>
              <w:snapToGrid w:val="0"/>
              <w:spacing w:line="240" w:lineRule="auto"/>
              <w:ind w:left="0" w:right="0" w:firstLine="0" w:leftChars="0" w:rightChars="0" w:firstLineChars="0"/>
              <w:jc w:val="left"/>
              <w:textAlignment w:val="auto"/>
              <w:rPr>
                <w:rFonts w:ascii="宋体" w:eastAsia="宋体"/>
                <w:b w:val="0"/>
                <w:i w:val="0"/>
                <w:color w:val="08090C"/>
                <w:sz w:val="18"/>
                <w:szCs w:val="18"/>
              </w:rPr>
            </w:pPr>
            <w:r>
              <w:rPr>
                <w:rFonts w:ascii="宋体" w:eastAsia="宋体" w:hAnsi="宋体" w:cs="宋体"/>
                <w:b w:val="0"/>
                <w:i w:val="0"/>
                <w:color w:val="08090C"/>
                <w:kern w:val="0"/>
                <w:sz w:val="18"/>
                <w:szCs w:val="18"/>
                <w:lang w:val="en-US" w:eastAsia="zh-CN" w:bidi="ar"/>
              </w:rPr>
              <w:t>中条山游击斗争口述记录</w:t>
            </w:r>
          </w:p>
        </w:tc>
        <w:tc>
          <w:tcPr>
            <w:tcW w:w="1001" w:type="dxa"/>
            <w:tcBorders>
              <w:top w:val="nil"/>
              <w:left w:val="nil"/>
              <w:bottom w:val="nil"/>
              <w:right w:val="nil"/>
            </w:tcBorders>
            <w:shd w:val="clear" w:color="auto" w:fill="FFFFFF"/>
            <w:noWrap w:val="0"/>
            <w:tcMar>
              <w:top w:w="120" w:type="dxa"/>
              <w:left w:w="120" w:type="dxa"/>
              <w:bottom w:w="120" w:type="dxa"/>
              <w:right w:w="120" w:type="dxa"/>
            </w:tcMar>
            <w:vAlign w:val="center"/>
          </w:tcPr>
          <w:p w14:paraId="18E6257F">
            <w:pPr>
              <w:keepNext/>
              <w:keepLines w:val="0"/>
              <w:pageBreakBefore w:val="0"/>
              <w:widowControl/>
              <w:suppressLineNumbers w:val="0"/>
              <w:kinsoku/>
              <w:wordWrap/>
              <w:overflowPunct/>
              <w:topLinePunct w:val="0"/>
              <w:autoSpaceDE/>
              <w:autoSpaceDN/>
              <w:bidi w:val="0"/>
              <w:adjustRightInd/>
              <w:snapToGrid w:val="0"/>
              <w:spacing w:line="240" w:lineRule="auto"/>
              <w:ind w:left="0" w:right="0" w:firstLine="0" w:leftChars="0" w:rightChars="0" w:firstLineChars="0"/>
              <w:jc w:val="left"/>
              <w:textAlignment w:val="auto"/>
              <w:rPr>
                <w:rFonts w:ascii="宋体" w:eastAsia="宋体"/>
                <w:b w:val="0"/>
                <w:i w:val="0"/>
                <w:color w:val="08090C"/>
                <w:sz w:val="18"/>
                <w:szCs w:val="18"/>
              </w:rPr>
            </w:pPr>
            <w:r>
              <w:rPr>
                <w:rFonts w:ascii="宋体" w:eastAsia="宋体" w:hAnsi="宋体" w:cs="宋体"/>
                <w:b w:val="0"/>
                <w:i w:val="0"/>
                <w:color w:val="08090C"/>
                <w:kern w:val="0"/>
                <w:sz w:val="18"/>
                <w:szCs w:val="18"/>
                <w:lang w:val="en-US" w:eastAsia="zh-CN" w:bidi="ar"/>
              </w:rPr>
              <w:t>平陆、芮城</w:t>
            </w:r>
          </w:p>
        </w:tc>
        <w:tc>
          <w:tcPr>
            <w:tcW w:w="2499" w:type="dxa"/>
            <w:tcBorders>
              <w:top w:val="nil"/>
              <w:left w:val="nil"/>
              <w:bottom w:val="nil"/>
              <w:right w:val="nil"/>
            </w:tcBorders>
            <w:shd w:val="clear" w:color="auto" w:fill="FFFFFF"/>
            <w:noWrap w:val="0"/>
            <w:tcMar>
              <w:top w:w="120" w:type="dxa"/>
              <w:left w:w="120" w:type="dxa"/>
              <w:bottom w:w="120" w:type="dxa"/>
              <w:right w:w="120" w:type="dxa"/>
            </w:tcMar>
            <w:vAlign w:val="center"/>
          </w:tcPr>
          <w:p w14:paraId="3CADFBA0">
            <w:pPr>
              <w:keepNext/>
              <w:keepLines w:val="0"/>
              <w:pageBreakBefore w:val="0"/>
              <w:widowControl/>
              <w:suppressLineNumbers w:val="0"/>
              <w:kinsoku/>
              <w:wordWrap/>
              <w:overflowPunct/>
              <w:topLinePunct w:val="0"/>
              <w:autoSpaceDE/>
              <w:autoSpaceDN/>
              <w:bidi w:val="0"/>
              <w:adjustRightInd/>
              <w:snapToGrid w:val="0"/>
              <w:spacing w:line="240" w:lineRule="auto"/>
              <w:ind w:left="0" w:right="0" w:firstLine="0" w:leftChars="0" w:rightChars="0" w:firstLineChars="0"/>
              <w:jc w:val="left"/>
              <w:textAlignment w:val="auto"/>
              <w:rPr>
                <w:rFonts w:ascii="宋体" w:eastAsia="宋体"/>
                <w:b w:val="0"/>
                <w:i w:val="0"/>
                <w:color w:val="08090C"/>
                <w:sz w:val="18"/>
                <w:szCs w:val="18"/>
              </w:rPr>
            </w:pPr>
            <w:r>
              <w:rPr>
                <w:rFonts w:ascii="宋体" w:eastAsia="宋体" w:hAnsi="宋体" w:cs="宋体"/>
                <w:b w:val="0"/>
                <w:i w:val="0"/>
                <w:color w:val="08090C"/>
                <w:kern w:val="0"/>
                <w:sz w:val="18"/>
                <w:szCs w:val="18"/>
                <w:lang w:val="en-US" w:eastAsia="zh-CN" w:bidi="ar"/>
              </w:rPr>
              <w:t>本地亲历者回忆牺盟会动员、山区伏击、掩护伤员、秘密转运物资的细节</w:t>
            </w:r>
          </w:p>
        </w:tc>
        <w:tc>
          <w:tcPr>
            <w:tcW w:w="2543" w:type="dxa"/>
            <w:tcBorders>
              <w:top w:val="nil"/>
              <w:left w:val="nil"/>
              <w:bottom w:val="nil"/>
              <w:right w:val="nil"/>
            </w:tcBorders>
            <w:shd w:val="clear" w:color="auto" w:fill="FFFFFF"/>
            <w:noWrap w:val="0"/>
            <w:tcMar>
              <w:top w:w="120" w:type="dxa"/>
              <w:left w:w="120" w:type="dxa"/>
              <w:bottom w:w="120" w:type="dxa"/>
              <w:right w:w="120" w:type="dxa"/>
            </w:tcMar>
            <w:vAlign w:val="center"/>
          </w:tcPr>
          <w:p w14:paraId="4FA20FE1">
            <w:pPr>
              <w:keepNext/>
              <w:keepLines w:val="0"/>
              <w:pageBreakBefore w:val="0"/>
              <w:widowControl/>
              <w:suppressLineNumbers w:val="0"/>
              <w:kinsoku/>
              <w:wordWrap/>
              <w:overflowPunct/>
              <w:topLinePunct w:val="0"/>
              <w:autoSpaceDE/>
              <w:autoSpaceDN/>
              <w:bidi w:val="0"/>
              <w:adjustRightInd/>
              <w:snapToGrid w:val="0"/>
              <w:spacing w:line="240" w:lineRule="auto"/>
              <w:ind w:left="0" w:right="0" w:firstLine="0" w:leftChars="0" w:rightChars="0" w:firstLineChars="0"/>
              <w:jc w:val="left"/>
              <w:textAlignment w:val="auto"/>
              <w:rPr>
                <w:rFonts w:ascii="宋体" w:eastAsia="宋体"/>
                <w:b w:val="0"/>
                <w:i w:val="0"/>
                <w:color w:val="08090C"/>
                <w:sz w:val="18"/>
                <w:szCs w:val="18"/>
              </w:rPr>
            </w:pPr>
            <w:r>
              <w:rPr>
                <w:rFonts w:ascii="宋体" w:eastAsia="宋体" w:hAnsi="宋体" w:cs="宋体"/>
                <w:b w:val="0"/>
                <w:i w:val="0"/>
                <w:color w:val="08090C"/>
                <w:kern w:val="0"/>
                <w:sz w:val="18"/>
                <w:szCs w:val="18"/>
                <w:lang w:val="en-US" w:eastAsia="zh-CN" w:bidi="ar"/>
              </w:rPr>
              <w:t>补充课本之外的地方视角，还原敌后斗争的真实处境</w:t>
            </w:r>
          </w:p>
        </w:tc>
        <w:tc>
          <w:tcPr>
            <w:tcW w:w="1350" w:type="dxa"/>
            <w:tcBorders>
              <w:top w:val="nil"/>
              <w:left w:val="nil"/>
              <w:bottom w:val="nil"/>
              <w:right w:val="nil"/>
            </w:tcBorders>
            <w:shd w:val="clear" w:color="auto" w:fill="FFFFFF"/>
            <w:noWrap w:val="0"/>
            <w:tcMar>
              <w:top w:w="120" w:type="dxa"/>
              <w:left w:w="120" w:type="dxa"/>
              <w:bottom w:w="120" w:type="dxa"/>
              <w:right w:w="120" w:type="dxa"/>
            </w:tcMar>
            <w:vAlign w:val="center"/>
          </w:tcPr>
          <w:p w14:paraId="258B71DE">
            <w:pPr>
              <w:keepNext/>
              <w:keepLines w:val="0"/>
              <w:pageBreakBefore w:val="0"/>
              <w:widowControl/>
              <w:suppressLineNumbers w:val="0"/>
              <w:kinsoku/>
              <w:wordWrap/>
              <w:overflowPunct/>
              <w:topLinePunct w:val="0"/>
              <w:autoSpaceDE/>
              <w:autoSpaceDN/>
              <w:bidi w:val="0"/>
              <w:adjustRightInd/>
              <w:snapToGrid w:val="0"/>
              <w:spacing w:line="240" w:lineRule="auto"/>
              <w:ind w:left="0" w:right="0" w:firstLine="0" w:leftChars="0" w:rightChars="0" w:firstLineChars="0"/>
              <w:jc w:val="left"/>
              <w:textAlignment w:val="auto"/>
              <w:rPr>
                <w:rFonts w:ascii="宋体" w:eastAsia="宋体"/>
                <w:b w:val="0"/>
                <w:i w:val="0"/>
                <w:color w:val="08090C"/>
                <w:sz w:val="18"/>
                <w:szCs w:val="18"/>
              </w:rPr>
            </w:pPr>
            <w:r>
              <w:rPr>
                <w:rFonts w:ascii="宋体" w:eastAsia="宋体" w:hAnsi="宋体" w:cs="宋体"/>
                <w:b w:val="0"/>
                <w:i w:val="0"/>
                <w:color w:val="08090C"/>
                <w:kern w:val="0"/>
                <w:sz w:val="18"/>
                <w:szCs w:val="18"/>
                <w:lang w:val="en-US" w:eastAsia="zh-CN" w:bidi="ar"/>
              </w:rPr>
              <w:t>敌后游击战争</w:t>
            </w:r>
          </w:p>
        </w:tc>
      </w:tr>
      <w:tr w14:paraId="137CFD29">
        <w:tblPrEx>
          <w:tblW w:w="8462" w:type="dxa"/>
          <w:jc w:val="center"/>
          <w:shd w:val="clear" w:color="auto" w:fill="auto"/>
          <w:tblLayout w:type="fixed"/>
          <w:tblCellMar>
            <w:top w:w="15" w:type="dxa"/>
            <w:left w:w="15" w:type="dxa"/>
            <w:bottom w:w="15" w:type="dxa"/>
            <w:right w:w="15" w:type="dxa"/>
          </w:tblCellMar>
        </w:tblPrEx>
        <w:trPr>
          <w:trHeight w:hRule="auto" w:val="0"/>
          <w:jc w:val="center"/>
        </w:trPr>
        <w:tc>
          <w:tcPr>
            <w:tcW w:w="1069" w:type="dxa"/>
            <w:tcBorders>
              <w:top w:val="nil"/>
              <w:left w:val="nil"/>
              <w:bottom w:val="single" w:sz="12" w:space="0" w:color="4874CB" w:themeColor="accent1"/>
              <w:right w:val="nil"/>
            </w:tcBorders>
            <w:shd w:val="clear" w:color="auto" w:fill="FFFFFF"/>
            <w:noWrap w:val="0"/>
            <w:tcMar>
              <w:top w:w="120" w:type="dxa"/>
              <w:left w:w="120" w:type="dxa"/>
              <w:bottom w:w="120" w:type="dxa"/>
              <w:right w:w="120" w:type="dxa"/>
            </w:tcMar>
            <w:vAlign w:val="center"/>
          </w:tcPr>
          <w:p w14:paraId="7238355C">
            <w:pPr>
              <w:keepNext/>
              <w:keepLines w:val="0"/>
              <w:pageBreakBefore w:val="0"/>
              <w:widowControl/>
              <w:suppressLineNumbers w:val="0"/>
              <w:kinsoku/>
              <w:wordWrap/>
              <w:overflowPunct/>
              <w:topLinePunct w:val="0"/>
              <w:autoSpaceDE/>
              <w:autoSpaceDN/>
              <w:bidi w:val="0"/>
              <w:adjustRightInd/>
              <w:snapToGrid w:val="0"/>
              <w:spacing w:line="240" w:lineRule="auto"/>
              <w:ind w:left="0" w:right="0" w:firstLine="0" w:leftChars="0" w:rightChars="0" w:firstLineChars="0"/>
              <w:jc w:val="left"/>
              <w:textAlignment w:val="auto"/>
              <w:rPr>
                <w:rFonts w:ascii="宋体" w:eastAsia="宋体"/>
                <w:b w:val="0"/>
                <w:i w:val="0"/>
                <w:color w:val="08090C"/>
                <w:sz w:val="18"/>
                <w:szCs w:val="18"/>
              </w:rPr>
            </w:pPr>
            <w:r>
              <w:rPr>
                <w:rFonts w:ascii="宋体" w:eastAsia="宋体" w:hAnsi="宋体" w:cs="宋体"/>
                <w:b w:val="0"/>
                <w:i w:val="0"/>
                <w:color w:val="08090C"/>
                <w:kern w:val="0"/>
                <w:sz w:val="18"/>
                <w:szCs w:val="18"/>
                <w:lang w:val="en-US" w:eastAsia="zh-CN" w:bidi="ar"/>
              </w:rPr>
              <w:t>条西根据地斗争精神</w:t>
            </w:r>
          </w:p>
        </w:tc>
        <w:tc>
          <w:tcPr>
            <w:tcW w:w="1001" w:type="dxa"/>
            <w:tcBorders>
              <w:top w:val="nil"/>
              <w:left w:val="nil"/>
              <w:bottom w:val="single" w:sz="12" w:space="0" w:color="4874CB" w:themeColor="accent1"/>
              <w:right w:val="nil"/>
            </w:tcBorders>
            <w:shd w:val="clear" w:color="auto" w:fill="FFFFFF"/>
            <w:noWrap w:val="0"/>
            <w:tcMar>
              <w:top w:w="120" w:type="dxa"/>
              <w:left w:w="120" w:type="dxa"/>
              <w:bottom w:w="120" w:type="dxa"/>
              <w:right w:w="120" w:type="dxa"/>
            </w:tcMar>
            <w:vAlign w:val="center"/>
          </w:tcPr>
          <w:p w14:paraId="518AB92D">
            <w:pPr>
              <w:keepNext/>
              <w:keepLines w:val="0"/>
              <w:pageBreakBefore w:val="0"/>
              <w:widowControl/>
              <w:suppressLineNumbers w:val="0"/>
              <w:kinsoku/>
              <w:wordWrap/>
              <w:overflowPunct/>
              <w:topLinePunct w:val="0"/>
              <w:autoSpaceDE/>
              <w:autoSpaceDN/>
              <w:bidi w:val="0"/>
              <w:adjustRightInd/>
              <w:snapToGrid w:val="0"/>
              <w:spacing w:line="240" w:lineRule="auto"/>
              <w:ind w:left="0" w:right="0" w:firstLine="0" w:leftChars="0" w:rightChars="0" w:firstLineChars="0"/>
              <w:jc w:val="left"/>
              <w:textAlignment w:val="auto"/>
              <w:rPr>
                <w:rFonts w:ascii="宋体" w:eastAsia="宋体"/>
                <w:b w:val="0"/>
                <w:i w:val="0"/>
                <w:color w:val="08090C"/>
                <w:sz w:val="18"/>
                <w:szCs w:val="18"/>
              </w:rPr>
            </w:pPr>
            <w:r>
              <w:rPr>
                <w:rFonts w:ascii="宋体" w:eastAsia="宋体" w:hAnsi="宋体" w:cs="宋体"/>
                <w:b w:val="0"/>
                <w:i w:val="0"/>
                <w:color w:val="08090C"/>
                <w:kern w:val="0"/>
                <w:sz w:val="18"/>
                <w:szCs w:val="18"/>
                <w:lang w:val="en-US" w:eastAsia="zh-CN" w:bidi="ar"/>
              </w:rPr>
              <w:t>闻喜、稷山一带</w:t>
            </w:r>
          </w:p>
        </w:tc>
        <w:tc>
          <w:tcPr>
            <w:tcW w:w="2499" w:type="dxa"/>
            <w:tcBorders>
              <w:top w:val="nil"/>
              <w:left w:val="nil"/>
              <w:bottom w:val="single" w:sz="12" w:space="0" w:color="4874CB" w:themeColor="accent1"/>
              <w:right w:val="nil"/>
            </w:tcBorders>
            <w:shd w:val="clear" w:color="auto" w:fill="FFFFFF"/>
            <w:noWrap w:val="0"/>
            <w:tcMar>
              <w:top w:w="120" w:type="dxa"/>
              <w:left w:w="120" w:type="dxa"/>
              <w:bottom w:w="120" w:type="dxa"/>
              <w:right w:w="120" w:type="dxa"/>
            </w:tcMar>
            <w:vAlign w:val="center"/>
          </w:tcPr>
          <w:p w14:paraId="5BAC9766">
            <w:pPr>
              <w:keepNext/>
              <w:keepLines w:val="0"/>
              <w:pageBreakBefore w:val="0"/>
              <w:widowControl/>
              <w:suppressLineNumbers w:val="0"/>
              <w:kinsoku/>
              <w:wordWrap/>
              <w:overflowPunct/>
              <w:topLinePunct w:val="0"/>
              <w:autoSpaceDE/>
              <w:autoSpaceDN/>
              <w:bidi w:val="0"/>
              <w:adjustRightInd/>
              <w:snapToGrid w:val="0"/>
              <w:spacing w:line="240" w:lineRule="auto"/>
              <w:ind w:left="0" w:right="0" w:firstLine="0" w:leftChars="0" w:rightChars="0" w:firstLineChars="0"/>
              <w:jc w:val="left"/>
              <w:textAlignment w:val="auto"/>
              <w:rPr>
                <w:rFonts w:ascii="宋体" w:eastAsia="宋体"/>
                <w:b w:val="0"/>
                <w:i w:val="0"/>
                <w:color w:val="08090C"/>
                <w:sz w:val="18"/>
                <w:szCs w:val="18"/>
              </w:rPr>
            </w:pPr>
            <w:r>
              <w:rPr>
                <w:rFonts w:ascii="宋体" w:eastAsia="宋体" w:hAnsi="宋体" w:cs="宋体"/>
                <w:b w:val="0"/>
                <w:i w:val="0"/>
                <w:color w:val="08090C"/>
                <w:kern w:val="0"/>
                <w:sz w:val="18"/>
                <w:szCs w:val="18"/>
                <w:lang w:val="en-US" w:eastAsia="zh-CN" w:bidi="ar"/>
              </w:rPr>
              <w:t>地下党组织在封锁、围剿环境中坚持发展组织、发动群众、保存革命力量</w:t>
            </w:r>
          </w:p>
        </w:tc>
        <w:tc>
          <w:tcPr>
            <w:tcW w:w="2543" w:type="dxa"/>
            <w:tcBorders>
              <w:top w:val="nil"/>
              <w:left w:val="nil"/>
              <w:bottom w:val="single" w:sz="12" w:space="0" w:color="4874CB" w:themeColor="accent1"/>
              <w:right w:val="nil"/>
            </w:tcBorders>
            <w:shd w:val="clear" w:color="auto" w:fill="FFFFFF"/>
            <w:noWrap w:val="0"/>
            <w:tcMar>
              <w:top w:w="120" w:type="dxa"/>
              <w:left w:w="120" w:type="dxa"/>
              <w:bottom w:w="120" w:type="dxa"/>
              <w:right w:w="120" w:type="dxa"/>
            </w:tcMar>
            <w:vAlign w:val="center"/>
          </w:tcPr>
          <w:p w14:paraId="7C37BD9B">
            <w:pPr>
              <w:keepNext/>
              <w:keepLines w:val="0"/>
              <w:pageBreakBefore w:val="0"/>
              <w:widowControl/>
              <w:suppressLineNumbers w:val="0"/>
              <w:kinsoku/>
              <w:wordWrap/>
              <w:overflowPunct/>
              <w:topLinePunct w:val="0"/>
              <w:autoSpaceDE/>
              <w:autoSpaceDN/>
              <w:bidi w:val="0"/>
              <w:adjustRightInd/>
              <w:snapToGrid w:val="0"/>
              <w:spacing w:line="240" w:lineRule="auto"/>
              <w:ind w:left="0" w:right="0" w:firstLine="0" w:leftChars="0" w:rightChars="0" w:firstLineChars="0"/>
              <w:jc w:val="left"/>
              <w:textAlignment w:val="auto"/>
              <w:rPr>
                <w:rFonts w:ascii="宋体" w:eastAsia="宋体"/>
                <w:b w:val="0"/>
                <w:i w:val="0"/>
                <w:color w:val="08090C"/>
                <w:sz w:val="18"/>
                <w:szCs w:val="18"/>
              </w:rPr>
            </w:pPr>
            <w:r>
              <w:rPr>
                <w:rFonts w:ascii="宋体" w:eastAsia="宋体" w:hAnsi="宋体" w:cs="宋体"/>
                <w:b w:val="0"/>
                <w:i w:val="0"/>
                <w:color w:val="08090C"/>
                <w:kern w:val="0"/>
                <w:sz w:val="18"/>
                <w:szCs w:val="18"/>
                <w:lang w:val="en-US" w:eastAsia="zh-CN" w:bidi="ar"/>
              </w:rPr>
              <w:t>体会隐忍坚守、不怕牺牲的精神内核，涵养家国担当</w:t>
            </w:r>
          </w:p>
        </w:tc>
        <w:tc>
          <w:tcPr>
            <w:tcW w:w="1350" w:type="dxa"/>
            <w:tcBorders>
              <w:top w:val="nil"/>
              <w:left w:val="nil"/>
              <w:bottom w:val="single" w:sz="12" w:space="0" w:color="4874CB" w:themeColor="accent1"/>
              <w:right w:val="nil"/>
            </w:tcBorders>
            <w:shd w:val="clear" w:color="auto" w:fill="FFFFFF"/>
            <w:noWrap w:val="0"/>
            <w:tcMar>
              <w:top w:w="120" w:type="dxa"/>
              <w:left w:w="120" w:type="dxa"/>
              <w:bottom w:w="120" w:type="dxa"/>
              <w:right w:w="120" w:type="dxa"/>
            </w:tcMar>
            <w:vAlign w:val="center"/>
          </w:tcPr>
          <w:p w14:paraId="5099E669">
            <w:pPr>
              <w:keepNext/>
              <w:keepLines w:val="0"/>
              <w:pageBreakBefore w:val="0"/>
              <w:widowControl/>
              <w:suppressLineNumbers w:val="0"/>
              <w:kinsoku/>
              <w:wordWrap/>
              <w:overflowPunct/>
              <w:topLinePunct w:val="0"/>
              <w:autoSpaceDE/>
              <w:autoSpaceDN/>
              <w:bidi w:val="0"/>
              <w:adjustRightInd/>
              <w:snapToGrid w:val="0"/>
              <w:spacing w:line="240" w:lineRule="auto"/>
              <w:ind w:left="0" w:right="0" w:firstLine="0" w:leftChars="0" w:rightChars="0" w:firstLineChars="0"/>
              <w:jc w:val="left"/>
              <w:textAlignment w:val="auto"/>
              <w:rPr>
                <w:rFonts w:ascii="宋体" w:eastAsia="宋体"/>
                <w:b w:val="0"/>
                <w:i w:val="0"/>
                <w:color w:val="08090C"/>
                <w:sz w:val="18"/>
                <w:szCs w:val="18"/>
              </w:rPr>
            </w:pPr>
            <w:r>
              <w:rPr>
                <w:rFonts w:ascii="宋体" w:eastAsia="宋体" w:hAnsi="宋体" w:cs="宋体"/>
                <w:b w:val="0"/>
                <w:i w:val="0"/>
                <w:color w:val="08090C"/>
                <w:kern w:val="0"/>
                <w:sz w:val="18"/>
                <w:szCs w:val="18"/>
                <w:lang w:val="en-US" w:eastAsia="zh-CN" w:bidi="ar"/>
              </w:rPr>
              <w:t>新民主主义革命综合拓展</w:t>
            </w:r>
          </w:p>
        </w:tc>
      </w:tr>
    </w:tbl>
    <w:p w14:paraId="48A1D326">
      <w:pPr>
        <w:keepLines w:val="0"/>
        <w:pageBreakBefore w:val="0"/>
        <w:numPr>
          <w:ilvl w:val="0"/>
          <w:numId w:val="0"/>
        </w:numPr>
        <w:kinsoku/>
        <w:wordWrap/>
        <w:overflowPunct/>
        <w:topLinePunct w:val="0"/>
        <w:autoSpaceDE/>
        <w:autoSpaceDN/>
        <w:bidi w:val="0"/>
        <w:adjustRightInd/>
        <w:spacing w:line="360" w:lineRule="auto"/>
        <w:textAlignment w:val="auto"/>
        <w:rPr>
          <w:rFonts w:ascii="宋体" w:eastAsia="宋体" w:hAnsi="宋体" w:cs="宋体" w:hint="eastAsia"/>
          <w:b/>
          <w:bCs/>
          <w:lang w:val="en-US" w:eastAsia="zh-CN"/>
        </w:rPr>
      </w:pPr>
      <w:r>
        <w:rPr>
          <w:rFonts w:ascii="宋体" w:eastAsia="宋体" w:hAnsi="宋体" w:cs="宋体" w:hint="eastAsia"/>
          <w:b/>
          <w:bCs/>
          <w:lang w:val="en-US" w:eastAsia="zh-CN"/>
        </w:rPr>
        <w:t>4.2明确初中生家国情怀现状</w:t>
      </w:r>
    </w:p>
    <w:p w14:paraId="37E0B255">
      <w:pPr>
        <w:keepLines w:val="0"/>
        <w:pageBreakBefore w:val="0"/>
        <w:numPr>
          <w:ilvl w:val="0"/>
          <w:numId w:val="0"/>
        </w:numPr>
        <w:kinsoku/>
        <w:wordWrap/>
        <w:overflowPunct/>
        <w:topLinePunct w:val="0"/>
        <w:autoSpaceDE/>
        <w:autoSpaceDN/>
        <w:bidi w:val="0"/>
        <w:adjustRightInd/>
        <w:spacing w:line="360" w:lineRule="auto"/>
        <w:ind w:firstLine="420" w:firstLineChars="200"/>
        <w:textAlignment w:val="auto"/>
        <w:rPr>
          <w:rFonts w:ascii="宋体" w:eastAsia="宋体" w:hAnsi="宋体" w:cs="宋体" w:hint="eastAsia"/>
          <w:b w:val="0"/>
          <w:bCs w:val="0"/>
          <w:lang w:val="en-US" w:eastAsia="zh-CN"/>
        </w:rPr>
      </w:pPr>
      <w:r>
        <w:rPr>
          <w:rFonts w:ascii="宋体" w:eastAsia="宋体" w:hAnsi="宋体" w:cs="宋体" w:hint="eastAsia"/>
          <w:b w:val="0"/>
          <w:bCs w:val="0"/>
          <w:lang w:val="en-US" w:eastAsia="zh-CN"/>
        </w:rPr>
        <w:t>课题组选取万荣县城镇中学初中生为研究对象，用问卷调查、师生访谈、观察课堂等途径来获得有关学生的认知水平、情感态度、行为表现的信息，从认知水平、情感态度、行为表现三个方面分析学生的家国情怀。调研所得的学情数据可以真实反映本地区红色资源融入历史教学所依托的现实基础，也能给今后的研究方向给出可信的事实支撑。</w:t>
      </w:r>
    </w:p>
    <w:p w14:paraId="0BF6F800">
      <w:pPr>
        <w:keepLines w:val="0"/>
        <w:pageBreakBefore w:val="0"/>
        <w:numPr>
          <w:ilvl w:val="0"/>
          <w:numId w:val="0"/>
        </w:numPr>
        <w:kinsoku/>
        <w:wordWrap/>
        <w:overflowPunct/>
        <w:topLinePunct w:val="0"/>
        <w:autoSpaceDE/>
        <w:autoSpaceDN/>
        <w:bidi w:val="0"/>
        <w:adjustRightInd/>
        <w:spacing w:line="360" w:lineRule="auto"/>
        <w:ind w:firstLine="420" w:firstLineChars="200"/>
        <w:textAlignment w:val="auto"/>
        <w:rPr>
          <w:rFonts w:ascii="宋体" w:eastAsia="宋体" w:hAnsi="宋体" w:cs="宋体" w:hint="eastAsia"/>
          <w:b/>
          <w:bCs/>
          <w:lang w:val="en-US" w:eastAsia="zh-CN"/>
        </w:rPr>
      </w:pPr>
      <w:r>
        <w:rPr>
          <w:rFonts w:ascii="宋体" w:eastAsia="宋体" w:hAnsi="宋体" w:cs="宋体" w:hint="eastAsia"/>
          <w:b/>
          <w:bCs/>
          <w:lang w:val="en-US" w:eastAsia="zh-CN"/>
        </w:rPr>
        <w:t>（1）本土红色史实的认知储备</w:t>
      </w:r>
    </w:p>
    <w:p w14:paraId="46BA123D">
      <w:pPr>
        <w:keepLines w:val="0"/>
        <w:pageBreakBefore w:val="0"/>
        <w:numPr>
          <w:ilvl w:val="0"/>
          <w:numId w:val="0"/>
        </w:numPr>
        <w:kinsoku/>
        <w:wordWrap/>
        <w:overflowPunct/>
        <w:topLinePunct w:val="0"/>
        <w:autoSpaceDE/>
        <w:autoSpaceDN/>
        <w:bidi w:val="0"/>
        <w:adjustRightInd/>
        <w:spacing w:line="360" w:lineRule="auto"/>
        <w:ind w:firstLine="420" w:firstLineChars="200"/>
        <w:textAlignment w:val="auto"/>
        <w:rPr>
          <w:rFonts w:ascii="宋体" w:eastAsia="宋体" w:hAnsi="宋体" w:cs="宋体" w:hint="eastAsia"/>
          <w:b w:val="0"/>
          <w:bCs w:val="0"/>
          <w:lang w:val="en-US" w:eastAsia="zh-CN"/>
        </w:rPr>
      </w:pPr>
      <w:r>
        <w:rPr>
          <w:rFonts w:ascii="宋体" w:eastAsia="宋体" w:hAnsi="宋体" w:cs="宋体" w:hint="eastAsia"/>
          <w:b w:val="0"/>
          <w:bCs w:val="0"/>
          <w:lang w:val="en-US" w:eastAsia="zh-CN"/>
        </w:rPr>
        <w:t>学生对于运城本地红色历史的储备量，直接影响红色资源承载的家国内涵在历史课堂上的传播深度，统编历史教材对于地方红色史实的篇幅比较少，学生接触河东革命相关资料的途径也比较有限，大部分学生只能记住抗战、解放战争这些大的历史概念，对于发生在运城土地上的地下斗争、支前行动等史实没有形成完整的印象。</w:t>
      </w:r>
    </w:p>
    <w:p w14:paraId="6CF1FCF3">
      <w:pPr>
        <w:keepLines w:val="0"/>
        <w:pageBreakBefore w:val="0"/>
        <w:numPr>
          <w:ilvl w:val="0"/>
          <w:numId w:val="0"/>
        </w:numPr>
        <w:kinsoku/>
        <w:wordWrap/>
        <w:overflowPunct/>
        <w:topLinePunct w:val="0"/>
        <w:autoSpaceDE/>
        <w:autoSpaceDN/>
        <w:bidi w:val="0"/>
        <w:adjustRightInd/>
        <w:spacing w:line="360" w:lineRule="auto"/>
        <w:ind w:firstLine="420" w:firstLineChars="200"/>
        <w:textAlignment w:val="auto"/>
        <w:rPr>
          <w:rFonts w:ascii="宋体" w:eastAsia="宋体" w:hAnsi="宋体" w:cs="宋体" w:hint="eastAsia"/>
          <w:b/>
          <w:bCs/>
          <w:lang w:val="en-US" w:eastAsia="zh-CN"/>
        </w:rPr>
      </w:pPr>
      <w:r>
        <w:rPr>
          <w:rFonts w:ascii="宋体" w:eastAsia="宋体" w:hAnsi="宋体" w:cs="宋体" w:hint="eastAsia"/>
          <w:b/>
          <w:bCs/>
          <w:lang w:val="en-US" w:eastAsia="zh-CN"/>
        </w:rPr>
        <w:t>（2）河东革命故事的情感投射</w:t>
      </w:r>
    </w:p>
    <w:p w14:paraId="0CB459B3">
      <w:pPr>
        <w:keepLines w:val="0"/>
        <w:pageBreakBefore w:val="0"/>
        <w:numPr>
          <w:ilvl w:val="0"/>
          <w:numId w:val="0"/>
        </w:numPr>
        <w:kinsoku/>
        <w:wordWrap/>
        <w:overflowPunct/>
        <w:topLinePunct w:val="0"/>
        <w:autoSpaceDE/>
        <w:autoSpaceDN/>
        <w:bidi w:val="0"/>
        <w:adjustRightInd/>
        <w:spacing w:line="360" w:lineRule="auto"/>
        <w:ind w:firstLine="420" w:firstLineChars="200"/>
        <w:textAlignment w:val="auto"/>
        <w:rPr>
          <w:rFonts w:ascii="宋体" w:eastAsia="宋体" w:hAnsi="宋体" w:cs="宋体" w:hint="eastAsia"/>
          <w:b w:val="0"/>
          <w:bCs w:val="0"/>
          <w:lang w:val="en-US" w:eastAsia="zh-CN"/>
        </w:rPr>
      </w:pPr>
      <w:r>
        <w:rPr>
          <w:rFonts w:ascii="宋体" w:eastAsia="宋体" w:hAnsi="宋体" w:cs="宋体" w:hint="eastAsia"/>
          <w:b w:val="0"/>
          <w:bCs w:val="0"/>
          <w:lang w:val="en-US" w:eastAsia="zh-CN"/>
        </w:rPr>
        <w:t>学生对于运城革命事迹产生的情感底色是家国情怀不断积累的内在支撑，很多学生在接触先烈事迹的时候会有一些短暂的感动，但是这种情绪一般只停留在一次教学活动所带来的即时感受上，很难形成稳定的、持续的情感认同，学生也很难把家乡的革命先辈的选择同自身所处的时代建立起牢固的情感联系</w:t>
      </w:r>
    </w:p>
    <w:p w14:paraId="3D6CB2B5">
      <w:pPr>
        <w:keepLines w:val="0"/>
        <w:pageBreakBefore w:val="0"/>
        <w:numPr>
          <w:ilvl w:val="0"/>
          <w:numId w:val="0"/>
        </w:numPr>
        <w:kinsoku/>
        <w:wordWrap/>
        <w:overflowPunct/>
        <w:topLinePunct w:val="0"/>
        <w:autoSpaceDE/>
        <w:autoSpaceDN/>
        <w:bidi w:val="0"/>
        <w:adjustRightInd/>
        <w:spacing w:line="360" w:lineRule="auto"/>
        <w:ind w:firstLine="420" w:firstLineChars="200"/>
        <w:textAlignment w:val="auto"/>
        <w:rPr>
          <w:rFonts w:ascii="宋体" w:eastAsia="宋体" w:hAnsi="宋体" w:cs="宋体" w:hint="eastAsia"/>
          <w:b/>
          <w:bCs/>
          <w:lang w:val="en-US" w:eastAsia="zh-CN"/>
        </w:rPr>
      </w:pPr>
      <w:r>
        <w:rPr>
          <w:rFonts w:ascii="宋体" w:eastAsia="宋体" w:hAnsi="宋体" w:cs="宋体" w:hint="eastAsia"/>
          <w:b/>
          <w:bCs/>
          <w:lang w:val="en-US" w:eastAsia="zh-CN"/>
        </w:rPr>
        <w:t>（3）家国精神内核的行为外化</w:t>
      </w:r>
    </w:p>
    <w:p w14:paraId="57E28755">
      <w:pPr>
        <w:keepLines w:val="0"/>
        <w:pageBreakBefore w:val="0"/>
        <w:numPr>
          <w:ilvl w:val="0"/>
          <w:numId w:val="0"/>
        </w:numPr>
        <w:kinsoku/>
        <w:wordWrap/>
        <w:overflowPunct/>
        <w:topLinePunct w:val="0"/>
        <w:autoSpaceDE/>
        <w:autoSpaceDN/>
        <w:bidi w:val="0"/>
        <w:adjustRightInd/>
        <w:spacing w:line="360" w:lineRule="auto"/>
        <w:ind w:firstLine="420" w:firstLineChars="200"/>
        <w:textAlignment w:val="auto"/>
        <w:rPr>
          <w:rFonts w:ascii="宋体" w:eastAsia="宋体" w:hAnsi="宋体" w:cs="宋体" w:hint="eastAsia"/>
          <w:b w:val="0"/>
          <w:bCs w:val="0"/>
          <w:lang w:val="en-US" w:eastAsia="zh-CN"/>
        </w:rPr>
      </w:pPr>
      <w:r>
        <w:rPr>
          <w:rFonts w:ascii="宋体" w:eastAsia="宋体" w:hAnsi="宋体" w:cs="宋体" w:hint="eastAsia"/>
          <w:b w:val="0"/>
          <w:bCs w:val="0"/>
          <w:lang w:val="en-US" w:eastAsia="zh-CN"/>
        </w:rPr>
        <w:t>学生内在家国认知向外转化而产生的行为形态，是评判家国情怀培养成果的重要参照，很多学生只在学校的统一组织下参加研学、主题展演等活动时才能配合完成任务，所获得的价值认知很难自发迁移到日常学习、生活中去，红色教育带来的影响也很难转化为长久的自觉选择。</w:t>
      </w:r>
    </w:p>
    <w:p w14:paraId="468FC395">
      <w:pPr>
        <w:keepLines w:val="0"/>
        <w:pageBreakBefore w:val="0"/>
        <w:numPr>
          <w:ilvl w:val="0"/>
          <w:numId w:val="0"/>
        </w:numPr>
        <w:kinsoku/>
        <w:wordWrap/>
        <w:overflowPunct/>
        <w:topLinePunct w:val="0"/>
        <w:autoSpaceDE/>
        <w:autoSpaceDN/>
        <w:bidi w:val="0"/>
        <w:adjustRightInd/>
        <w:spacing w:line="360" w:lineRule="auto"/>
        <w:textAlignment w:val="auto"/>
        <w:rPr>
          <w:rFonts w:ascii="宋体" w:eastAsia="宋体" w:hAnsi="宋体" w:cs="宋体" w:hint="eastAsia"/>
          <w:b/>
          <w:bCs/>
          <w:lang w:val="en-US" w:eastAsia="zh-CN"/>
        </w:rPr>
      </w:pPr>
      <w:r>
        <w:rPr>
          <w:rFonts w:ascii="宋体" w:eastAsia="宋体" w:hAnsi="宋体" w:cs="宋体" w:hint="eastAsia"/>
          <w:b/>
          <w:bCs/>
          <w:lang w:val="en-US" w:eastAsia="zh-CN"/>
        </w:rPr>
        <w:t>4.3形成基于运城地区红色资源培养初中生家国情怀的实践路径</w:t>
      </w:r>
    </w:p>
    <w:p w14:paraId="3B235D30">
      <w:pPr>
        <w:keepLines w:val="0"/>
        <w:pageBreakBefore w:val="0"/>
        <w:numPr>
          <w:ilvl w:val="0"/>
          <w:numId w:val="0"/>
        </w:numPr>
        <w:kinsoku/>
        <w:wordWrap/>
        <w:overflowPunct/>
        <w:topLinePunct w:val="0"/>
        <w:autoSpaceDE/>
        <w:autoSpaceDN/>
        <w:bidi w:val="0"/>
        <w:adjustRightIn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课题组根据前期已完成的运城红色资源梳理工作和学生家国情怀学情调查数据，创建起一条从走进红色丰碑、探寻历史真谛、内化精神基因、践行时代使命的层层递进的历史学科育人闭环，各环节分别承担着不同的育人使命，本土红色素材沿着这条线路不断地渗透到日常的历史教学当中，家国情怀的培育措施也在课堂、研学、校园实践等各场景下有序落实。</w:t>
      </w:r>
    </w:p>
    <w:p w14:paraId="2915CA16">
      <w:pPr>
        <w:keepLines w:val="0"/>
        <w:pageBreakBefore w:val="0"/>
        <w:numPr>
          <w:ilvl w:val="0"/>
          <w:numId w:val="0"/>
        </w:numPr>
        <w:kinsoku/>
        <w:wordWrap/>
        <w:overflowPunct/>
        <w:topLinePunct w:val="0"/>
        <w:autoSpaceDE/>
        <w:autoSpaceDN/>
        <w:bidi w:val="0"/>
        <w:adjustRightInd/>
        <w:spacing w:line="360" w:lineRule="auto"/>
        <w:ind w:firstLine="420" w:firstLineChars="200"/>
        <w:textAlignment w:val="auto"/>
        <w:rPr>
          <w:rFonts w:ascii="宋体" w:eastAsia="宋体" w:hAnsi="宋体" w:cs="宋体" w:hint="eastAsia"/>
          <w:lang w:val="en-US" w:eastAsia="zh-CN"/>
        </w:rPr>
      </w:pPr>
    </w:p>
    <w:p w14:paraId="67F66A54">
      <w:pPr>
        <w:keepLines w:val="0"/>
        <w:pageBreakBefore w:val="0"/>
        <w:numPr>
          <w:ilvl w:val="0"/>
          <w:numId w:val="0"/>
        </w:numPr>
        <w:kinsoku/>
        <w:wordWrap/>
        <w:overflowPunct/>
        <w:topLinePunct w:val="0"/>
        <w:autoSpaceDE/>
        <w:autoSpaceDN/>
        <w:bidi w:val="0"/>
        <w:adjustRightInd/>
        <w:spacing w:line="360" w:lineRule="auto"/>
        <w:ind w:firstLine="420" w:firstLineChars="200"/>
        <w:textAlignment w:val="auto"/>
        <w:rPr>
          <w:rFonts w:ascii="宋体" w:eastAsia="宋体" w:hAnsi="宋体" w:cs="宋体" w:hint="eastAsia"/>
          <w:lang w:val="en-US" w:eastAsia="zh-CN"/>
        </w:rPr>
      </w:pPr>
    </w:p>
    <w:p w14:paraId="62FE9939">
      <w:pPr>
        <w:keepLines w:val="0"/>
        <w:pageBreakBefore w:val="0"/>
        <w:numPr>
          <w:ilvl w:val="0"/>
          <w:numId w:val="0"/>
        </w:numPr>
        <w:kinsoku/>
        <w:wordWrap/>
        <w:overflowPunct/>
        <w:topLinePunct w:val="0"/>
        <w:autoSpaceDE/>
        <w:autoSpaceDN/>
        <w:bidi w:val="0"/>
        <w:adjustRightInd/>
        <w:spacing w:line="360" w:lineRule="auto"/>
        <w:textAlignment w:val="auto"/>
        <w:rPr>
          <w:rFonts w:ascii="宋体" w:eastAsia="宋体" w:hAnsi="宋体" w:cs="宋体" w:hint="eastAsia"/>
          <w:b/>
          <w:bCs/>
          <w:lang w:val="en-US" w:eastAsia="zh-CN"/>
        </w:rPr>
      </w:pPr>
      <w:r>
        <w:rPr>
          <w:rFonts w:ascii="宋体" w:eastAsia="宋体" w:hAnsi="宋体" w:cs="宋体" w:hint="eastAsia"/>
          <w:b/>
          <w:bCs/>
          <w:lang w:val="en-US" w:eastAsia="zh-CN"/>
        </w:rPr>
        <w:t>3.1研究视角创新</w:t>
      </w:r>
    </w:p>
    <w:p w14:paraId="67015B39">
      <w:pPr>
        <w:keepLines w:val="0"/>
        <w:pageBreakBefore w:val="0"/>
        <w:numPr>
          <w:ilvl w:val="0"/>
          <w:numId w:val="0"/>
        </w:numPr>
        <w:kinsoku/>
        <w:wordWrap/>
        <w:overflowPunct/>
        <w:topLinePunct w:val="0"/>
        <w:autoSpaceDE/>
        <w:autoSpaceDN/>
        <w:bidi w:val="0"/>
        <w:adjustRightIn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一方面要以运城地区抗日战争时期和解放战争时期的革命遗址、纪念场所、烈士故居的物质载体和英雄事迹、革命精神的非物质遗产为研究对象，挖掘其背后所蕴含的家国情怀思想内涵，另一方面选取万荣县城镇中学作为研究对象，从认知水平、情感态度和行为表现三个方面来考察初中生家国情怀的发展状况及培养需求。把“资源供给端”和“学生需求端”联系起来，给本土化教育资源体系的创建赋予新的剖析架构。</w:t>
      </w:r>
    </w:p>
    <w:p w14:paraId="743B77E6">
      <w:pPr>
        <w:keepLines w:val="0"/>
        <w:pageBreakBefore w:val="0"/>
        <w:numPr>
          <w:ilvl w:val="0"/>
          <w:numId w:val="0"/>
        </w:numPr>
        <w:kinsoku/>
        <w:wordWrap/>
        <w:overflowPunct/>
        <w:topLinePunct w:val="0"/>
        <w:autoSpaceDE/>
        <w:autoSpaceDN/>
        <w:bidi w:val="0"/>
        <w:adjustRightInd/>
        <w:spacing w:line="360" w:lineRule="auto"/>
        <w:textAlignment w:val="auto"/>
        <w:rPr>
          <w:rFonts w:ascii="宋体" w:eastAsia="宋体" w:hAnsi="宋体" w:cs="宋体" w:hint="eastAsia"/>
          <w:b/>
          <w:bCs/>
          <w:lang w:val="en-US" w:eastAsia="zh-CN"/>
        </w:rPr>
      </w:pPr>
      <w:r>
        <w:rPr>
          <w:rFonts w:ascii="宋体" w:eastAsia="宋体" w:hAnsi="宋体" w:cs="宋体" w:hint="eastAsia"/>
          <w:b/>
          <w:bCs/>
          <w:lang w:val="en-US" w:eastAsia="zh-CN"/>
        </w:rPr>
        <w:t>3.1实践路径创新</w:t>
      </w:r>
    </w:p>
    <w:p w14:paraId="53254D16">
      <w:pPr>
        <w:keepLines w:val="0"/>
        <w:pageBreakBefore w:val="0"/>
        <w:numPr>
          <w:ilvl w:val="0"/>
          <w:numId w:val="0"/>
        </w:numPr>
        <w:kinsoku/>
        <w:wordWrap/>
        <w:overflowPunct/>
        <w:topLinePunct w:val="0"/>
        <w:autoSpaceDE/>
        <w:autoSpaceDN/>
        <w:bidi w:val="0"/>
        <w:adjustRightIn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课题以课标为纲、以教材为本、以学生为本、以情境为桥、以技术为翼、以任务为驱动力，形成四阶递进、螺旋上升的历史学科育人闭环实践路径。第一阶“走进红色丰碑”，用浸润式的史实讲述、多媒体情境再现把运城英雄事迹带入历史课堂，激发学生的好奇心和探究欲望；第二阶“探究历史真谛”，用历史研学小组的形式去走访荣河烈士陵园、八路军太岳纪念馆这些红色景点，在历史场景中进行史料挖掘与口述历史的采集；第三阶“精神基因的内化”，以课堂深度对话、专题论文写作、红色故事演说等形式进行精神内化；第四阶“时代使命的践行”，用历史情境剧展演、红色专题展览、知识竞赛等形式达成知行合一。四阶环环相扣，使历史知识学习和价值塑造有机地统一起来，解决红色教育“进课堂容易，入人心难”的实际问题。</w:t>
      </w:r>
    </w:p>
    <w:p w14:paraId="7EC76D2A">
      <w:pPr>
        <w:keepLines w:val="0"/>
        <w:pageBreakBefore w:val="0"/>
        <w:numPr>
          <w:ilvl w:val="0"/>
          <w:numId w:val="0"/>
        </w:numPr>
        <w:kinsoku/>
        <w:wordWrap/>
        <w:overflowPunct/>
        <w:topLinePunct w:val="0"/>
        <w:autoSpaceDE/>
        <w:autoSpaceDN/>
        <w:bidi w:val="0"/>
        <w:adjustRightInd/>
        <w:spacing w:line="360" w:lineRule="auto"/>
        <w:textAlignment w:val="auto"/>
        <w:rPr>
          <w:rFonts w:ascii="宋体" w:eastAsia="宋体" w:hAnsi="宋体" w:cs="宋体" w:hint="eastAsia"/>
          <w:b/>
          <w:bCs/>
          <w:lang w:val="en-US" w:eastAsia="zh-CN"/>
        </w:rPr>
      </w:pPr>
      <w:r>
        <w:rPr>
          <w:rFonts w:ascii="宋体" w:eastAsia="宋体" w:hAnsi="宋体" w:cs="宋体" w:hint="eastAsia"/>
          <w:b/>
          <w:bCs/>
          <w:lang w:val="en-US" w:eastAsia="zh-CN"/>
        </w:rPr>
        <w:t>3.2研究方法创新</w:t>
      </w:r>
    </w:p>
    <w:p w14:paraId="711F2C8E">
      <w:pPr>
        <w:keepLines w:val="0"/>
        <w:pageBreakBefore w:val="0"/>
        <w:numPr>
          <w:ilvl w:val="0"/>
          <w:numId w:val="0"/>
        </w:numPr>
        <w:kinsoku/>
        <w:wordWrap/>
        <w:overflowPunct/>
        <w:topLinePunct w:val="0"/>
        <w:autoSpaceDE/>
        <w:autoSpaceDN/>
        <w:bidi w:val="0"/>
        <w:adjustRightIn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本课题采取文献搜集法、田野考察法、口述采集法、行动检验法四种方法相结合的方式进行研究，把行动研究同文献研究有机结合起来。从资源端入手，运用地方志、党史文献整理和红色场馆田野调查、革命后代口述历史采集相结合的方式来保证红色资源价值挖掘的真实性以及丰富性，从育人端出发，运用问卷调查和深度访谈了解学生的家国情怀现状基线，接着用行动研究法在历史教学中进行育人的闭环路径迭代实施，提高研究结论的可信度并扩大其应用范围。</w:t>
      </w:r>
    </w:p>
    <w:p w14:paraId="61F33ABD">
      <w:pPr>
        <w:keepLines w:val="0"/>
        <w:pageBreakBefore w:val="0"/>
        <w:numPr>
          <w:ilvl w:val="0"/>
          <w:numId w:val="0"/>
        </w:numPr>
        <w:kinsoku/>
        <w:wordWrap/>
        <w:overflowPunct/>
        <w:topLinePunct w:val="0"/>
        <w:autoSpaceDE/>
        <w:autoSpaceDN/>
        <w:bidi w:val="0"/>
        <w:adjustRightInd/>
        <w:spacing w:line="360" w:lineRule="auto"/>
        <w:textAlignment w:val="auto"/>
        <w:rPr>
          <w:rFonts w:ascii="宋体" w:eastAsia="宋体" w:hAnsi="宋体" w:cs="宋体" w:hint="eastAsia"/>
          <w:b/>
          <w:bCs/>
        </w:rPr>
      </w:pPr>
      <w:r>
        <w:rPr>
          <w:rFonts w:ascii="宋体" w:eastAsia="宋体" w:hAnsi="宋体" w:cs="宋体" w:hint="eastAsia"/>
          <w:b/>
          <w:bCs/>
          <w:lang w:val="en-US" w:eastAsia="zh-CN"/>
        </w:rPr>
        <w:t>4.</w:t>
      </w:r>
      <w:r>
        <w:rPr>
          <w:rFonts w:ascii="宋体" w:eastAsia="宋体" w:hAnsi="宋体" w:cs="宋体" w:hint="eastAsia"/>
          <w:b/>
          <w:bCs/>
        </w:rPr>
        <w:t>存在问题</w:t>
      </w:r>
    </w:p>
    <w:p w14:paraId="5949B2DC">
      <w:pPr>
        <w:keepLines w:val="0"/>
        <w:pageBreakBefore w:val="0"/>
        <w:numPr>
          <w:ilvl w:val="0"/>
          <w:numId w:val="0"/>
        </w:numPr>
        <w:kinsoku/>
        <w:wordWrap/>
        <w:overflowPunct/>
        <w:topLinePunct w:val="0"/>
        <w:autoSpaceDE/>
        <w:autoSpaceDN/>
        <w:bidi w:val="0"/>
        <w:adjustRightIn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4.1</w:t>
      </w:r>
      <w:r>
        <w:rPr>
          <w:rFonts w:ascii="宋体" w:eastAsia="宋体" w:hAnsi="宋体" w:cs="宋体" w:hint="eastAsia"/>
          <w:lang w:val="en-US" w:eastAsia="zh-CN"/>
        </w:rPr>
        <w:t>目前课题组只用课堂表现、研学成果来判定培育效果，大部分的评价指标都是史实记忆类的。缺少对应标准来衡量学生在情感、态度层面的家国情怀，教师很难发现学生内心细微的变化，评价的结果也不能全面地体现育人工作的成效。</w:t>
      </w:r>
    </w:p>
    <w:p w14:paraId="52881440">
      <w:pPr>
        <w:keepLines w:val="0"/>
        <w:pageBreakBefore w:val="0"/>
        <w:numPr>
          <w:ilvl w:val="0"/>
          <w:numId w:val="0"/>
        </w:numPr>
        <w:kinsoku/>
        <w:wordWrap/>
        <w:overflowPunct/>
        <w:topLinePunct w:val="0"/>
        <w:autoSpaceDE/>
        <w:autoSpaceDN/>
        <w:bidi w:val="0"/>
        <w:adjustRightIn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4.2</w:t>
      </w:r>
      <w:r>
        <w:rPr>
          <w:rFonts w:ascii="宋体" w:eastAsia="宋体" w:hAnsi="宋体" w:cs="宋体" w:hint="eastAsia"/>
          <w:lang w:val="en-US" w:eastAsia="zh-CN"/>
        </w:rPr>
        <w:t>班级之间、同一个班级内的学生原有历史基础有高有低，有些学生可以很快地读懂本土的红色史料，也有不少学生阅读史料的速度较慢。统一安排的研学任务、课堂素材不能满足所有的学生学习速度，教学开展的难度也会随之增大。</w:t>
      </w:r>
    </w:p>
    <w:p w14:paraId="67DB1BE5">
      <w:pPr>
        <w:keepLines w:val="0"/>
        <w:pageBreakBefore w:val="0"/>
        <w:numPr>
          <w:ilvl w:val="0"/>
          <w:numId w:val="0"/>
        </w:numPr>
        <w:kinsoku/>
        <w:wordWrap/>
        <w:overflowPunct/>
        <w:topLinePunct w:val="0"/>
        <w:autoSpaceDE/>
        <w:autoSpaceDN/>
        <w:bidi w:val="0"/>
        <w:adjustRightIn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4.3</w:t>
      </w:r>
      <w:r>
        <w:rPr>
          <w:rFonts w:ascii="宋体" w:eastAsia="宋体" w:hAnsi="宋体" w:cs="宋体" w:hint="eastAsia"/>
          <w:lang w:val="en-US" w:eastAsia="zh-CN"/>
        </w:rPr>
        <w:t>各种活动的活动节奏快，成员都处在活动现场的组织和教学的进行当中，影像、学生草稿、小组讨论记录等零散材料很容易被忽略。由于研学笔记、活动底稿的搜集跟不上，造成材料归档顺序混乱，之后的研究缺少足够原始资料。</w:t>
      </w:r>
    </w:p>
    <w:p w14:paraId="4EDE7102">
      <w:pPr>
        <w:keepLines w:val="0"/>
        <w:pageBreakBefore w:val="0"/>
        <w:numPr>
          <w:ilvl w:val="0"/>
          <w:numId w:val="0"/>
        </w:numPr>
        <w:kinsoku/>
        <w:wordWrap/>
        <w:overflowPunct/>
        <w:topLinePunct w:val="0"/>
        <w:autoSpaceDE/>
        <w:autoSpaceDN/>
        <w:bidi w:val="0"/>
        <w:adjustRightInd/>
        <w:spacing w:line="360" w:lineRule="auto"/>
        <w:textAlignment w:val="auto"/>
        <w:rPr>
          <w:rFonts w:ascii="宋体" w:eastAsia="宋体" w:hAnsi="宋体" w:cs="宋体" w:hint="eastAsia"/>
          <w:b/>
          <w:bCs/>
        </w:rPr>
      </w:pPr>
      <w:r>
        <w:rPr>
          <w:rFonts w:ascii="宋体" w:eastAsia="宋体" w:hAnsi="宋体" w:cs="宋体" w:hint="eastAsia"/>
          <w:b/>
          <w:bCs/>
          <w:lang w:val="en-US" w:eastAsia="zh-CN"/>
        </w:rPr>
        <w:t>5.</w:t>
      </w:r>
      <w:r>
        <w:rPr>
          <w:rFonts w:ascii="宋体" w:eastAsia="宋体" w:hAnsi="宋体" w:cs="宋体" w:hint="eastAsia"/>
          <w:b/>
          <w:bCs/>
        </w:rPr>
        <w:t>重要变更</w:t>
      </w:r>
    </w:p>
    <w:p w14:paraId="3B770B92">
      <w:pPr>
        <w:keepLines w:val="0"/>
        <w:pageBreakBefore w:val="0"/>
        <w:numPr>
          <w:ilvl w:val="0"/>
          <w:numId w:val="0"/>
        </w:numPr>
        <w:kinsoku/>
        <w:wordWrap/>
        <w:overflowPunct/>
        <w:topLinePunct w:val="0"/>
        <w:autoSpaceDE/>
        <w:autoSpaceDN/>
        <w:bidi w:val="0"/>
        <w:adjustRightInd/>
        <w:spacing w:line="360" w:lineRule="auto"/>
        <w:ind w:firstLine="420" w:firstLineChars="200"/>
        <w:textAlignment w:val="auto"/>
        <w:rPr>
          <w:rFonts w:ascii="宋体" w:eastAsia="宋体" w:hAnsi="宋体" w:cs="宋体" w:hint="default"/>
          <w:lang w:val="en-US" w:eastAsia="zh-CN"/>
        </w:rPr>
      </w:pPr>
      <w:r>
        <w:rPr>
          <w:rFonts w:ascii="宋体" w:eastAsia="宋体" w:hAnsi="宋体" w:cs="宋体" w:hint="eastAsia"/>
          <w:lang w:val="en-US" w:eastAsia="zh-CN"/>
        </w:rPr>
        <w:t>无</w:t>
      </w:r>
    </w:p>
    <w:p w14:paraId="11CF1D8D">
      <w:pPr>
        <w:keepLines w:val="0"/>
        <w:pageBreakBefore w:val="0"/>
        <w:numPr>
          <w:ilvl w:val="0"/>
          <w:numId w:val="0"/>
        </w:numPr>
        <w:kinsoku/>
        <w:wordWrap/>
        <w:overflowPunct/>
        <w:topLinePunct w:val="0"/>
        <w:autoSpaceDE/>
        <w:autoSpaceDN/>
        <w:bidi w:val="0"/>
        <w:adjustRightInd/>
        <w:spacing w:line="360" w:lineRule="auto"/>
        <w:textAlignment w:val="auto"/>
        <w:rPr>
          <w:rFonts w:ascii="宋体" w:eastAsia="宋体" w:hAnsi="宋体" w:cs="宋体" w:hint="eastAsia"/>
          <w:b/>
          <w:bCs/>
        </w:rPr>
      </w:pPr>
      <w:r>
        <w:rPr>
          <w:rFonts w:ascii="宋体" w:eastAsia="宋体" w:hAnsi="宋体" w:cs="宋体" w:hint="eastAsia"/>
          <w:b/>
          <w:bCs/>
          <w:lang w:val="en-US" w:eastAsia="zh-CN"/>
        </w:rPr>
        <w:t>6.</w:t>
      </w:r>
      <w:r>
        <w:rPr>
          <w:rFonts w:ascii="宋体" w:eastAsia="宋体" w:hAnsi="宋体" w:cs="宋体" w:hint="eastAsia"/>
          <w:b/>
          <w:bCs/>
        </w:rPr>
        <w:t>下一步计划</w:t>
      </w:r>
    </w:p>
    <w:p w14:paraId="2359099E">
      <w:pPr>
        <w:keepLines w:val="0"/>
        <w:pageBreakBefore w:val="0"/>
        <w:numPr>
          <w:ilvl w:val="0"/>
          <w:numId w:val="0"/>
        </w:numPr>
        <w:kinsoku/>
        <w:wordWrap/>
        <w:overflowPunct/>
        <w:topLinePunct w:val="0"/>
        <w:autoSpaceDE/>
        <w:autoSpaceDN/>
        <w:bidi w:val="0"/>
        <w:adjustRightIn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6.1</w:t>
      </w:r>
      <w:r>
        <w:rPr>
          <w:rFonts w:ascii="宋体" w:eastAsia="宋体" w:hAnsi="宋体" w:cs="宋体" w:hint="eastAsia"/>
          <w:lang w:val="en-US" w:eastAsia="zh-CN"/>
        </w:rPr>
        <w:t>对已经整理出的运城红色资源素材做教学适合性的二次筛选工作，并根据初中生的认知特点对素材的呈现方式进行改进，从而给出分年级、分主题的课堂教学转化指南。</w:t>
      </w:r>
    </w:p>
    <w:p w14:paraId="47D61F5B">
      <w:pPr>
        <w:keepLines w:val="0"/>
        <w:pageBreakBefore w:val="0"/>
        <w:numPr>
          <w:ilvl w:val="0"/>
          <w:numId w:val="0"/>
        </w:numPr>
        <w:kinsoku/>
        <w:wordWrap/>
        <w:overflowPunct/>
        <w:topLinePunct w:val="0"/>
        <w:autoSpaceDE/>
        <w:autoSpaceDN/>
        <w:bidi w:val="0"/>
        <w:adjustRightIn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6.2</w:t>
      </w:r>
      <w:r>
        <w:rPr>
          <w:rFonts w:ascii="宋体" w:eastAsia="宋体" w:hAnsi="宋体" w:cs="宋体" w:hint="eastAsia"/>
          <w:lang w:val="en-US" w:eastAsia="zh-CN"/>
        </w:rPr>
        <w:t>组织历史教研组以育人闭环各个节点为载体，对“探究历史真谛”与“内化精神基因”衔接课例做打磨，经过磨课评课来提高路径的可操作性。</w:t>
      </w:r>
    </w:p>
    <w:p w14:paraId="11ADBA68">
      <w:pPr>
        <w:keepLines w:val="0"/>
        <w:pageBreakBefore w:val="0"/>
        <w:numPr>
          <w:ilvl w:val="0"/>
          <w:numId w:val="0"/>
        </w:numPr>
        <w:kinsoku/>
        <w:wordWrap/>
        <w:overflowPunct/>
        <w:topLinePunct w:val="0"/>
        <w:autoSpaceDE/>
        <w:autoSpaceDN/>
        <w:bidi w:val="0"/>
        <w:adjustRightIn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6.3</w:t>
      </w:r>
      <w:r>
        <w:rPr>
          <w:rFonts w:ascii="宋体" w:eastAsia="宋体" w:hAnsi="宋体" w:cs="宋体" w:hint="eastAsia"/>
          <w:lang w:val="en-US" w:eastAsia="zh-CN"/>
        </w:rPr>
        <w:t>建立完善教学评价体系，创建学生成长档案，收集课堂行为、研学成果、主题活动参与等方面的证据，用问卷和访谈做动态跟踪，分析路径实施对学生的家国情怀发展所起到的作用。</w:t>
      </w:r>
    </w:p>
    <w:p w14:paraId="0E740635">
      <w:pPr>
        <w:keepLines w:val="0"/>
        <w:pageBreakBefore w:val="0"/>
        <w:numPr>
          <w:ilvl w:val="0"/>
          <w:numId w:val="0"/>
        </w:numPr>
        <w:kinsoku/>
        <w:wordWrap/>
        <w:overflowPunct/>
        <w:topLinePunct w:val="0"/>
        <w:autoSpaceDE/>
        <w:autoSpaceDN/>
        <w:bidi w:val="0"/>
        <w:adjustRightIn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6.4</w:t>
      </w:r>
      <w:r>
        <w:rPr>
          <w:rFonts w:ascii="宋体" w:eastAsia="宋体" w:hAnsi="宋体" w:cs="宋体" w:hint="eastAsia"/>
          <w:lang w:val="en-US" w:eastAsia="zh-CN"/>
        </w:rPr>
        <w:t>整理出在两轮实践过程中产生的有效做法和典型课例，总结红色资源融入初中历史教学的实施策略及操作要点，形成论文初稿和结题报告。</w:t>
      </w:r>
    </w:p>
    <w:p w14:paraId="75D4A643">
      <w:pPr>
        <w:keepLines w:val="0"/>
        <w:pageBreakBefore w:val="0"/>
        <w:numPr>
          <w:ilvl w:val="0"/>
          <w:numId w:val="0"/>
        </w:numPr>
        <w:kinsoku/>
        <w:wordWrap/>
        <w:overflowPunct/>
        <w:topLinePunct w:val="0"/>
        <w:autoSpaceDE/>
        <w:autoSpaceDN/>
        <w:bidi w:val="0"/>
        <w:adjustRightInd/>
        <w:spacing w:line="360" w:lineRule="auto"/>
        <w:ind w:firstLine="420" w:firstLineChars="200"/>
        <w:textAlignment w:val="auto"/>
        <w:rPr>
          <w:rFonts w:ascii="宋体" w:eastAsia="宋体" w:hAnsi="宋体" w:cs="宋体" w:hint="eastAsia"/>
          <w:b w:val="0"/>
          <w:bCs w:val="0"/>
          <w:color w:val="000000"/>
          <w:sz w:val="21"/>
          <w:szCs w:val="21"/>
          <w:lang w:val="en-US" w:eastAsia="zh-CN"/>
        </w:rPr>
      </w:pPr>
      <w:r>
        <w:rPr>
          <w:rFonts w:ascii="宋体" w:eastAsia="宋体" w:hAnsi="宋体" w:cs="宋体" w:hint="eastAsia"/>
          <w:b w:val="0"/>
          <w:bCs w:val="0"/>
          <w:color w:val="000000"/>
          <w:sz w:val="21"/>
          <w:szCs w:val="21"/>
          <w:lang w:val="en-US" w:eastAsia="zh-CN"/>
        </w:rPr>
        <w:t>论文依据初中历史统编教材的编排顺序，整理运城本地红色资源与各单元教材的对应关系，区分适合课堂讲授、实地参观、课后延伸的史料种类。历史教研组集体备课时，教师按照论文中所列的资源匹配清单，选取课本主线与课本主线契合的河东红色史实，加入到《中国共产党的诞生》、《敌后战场的抗战》等常规课时的教学内容中。论文整理了课题组前期对万荣县城镇中学学生学习历史学情的调查结果，提出初中生在历史学习中习惯于接受具体的故事情节，不容易理解宏大的抽象论述的结论，任课教师备课时就会对史料的呈现形式进行改变，大部分使用人物的经历和地方的小事来承载历史。论文完整展示四段式育人闭环的推进过程，把课堂铺垫、研学采集、思辨内化、实践展示这四个环节衔接的顺序写清楚，课题组成员在打磨教学案例、设计主题活动的时候，都是依照这套思路来操作。校内跨学科开展红色主题活动的教师可以从论文中找到历史学科与语文、美术学科内容衔接的切入点，把乡土红色素材平稳地融入到初中多学科的教学计划里，使家国情怀培育符合初中生历史学习的认知速度。</w:t>
      </w:r>
    </w:p>
    <w:p w14:paraId="6D2F6E5A">
      <w:pPr>
        <w:keepLines w:val="0"/>
        <w:pageBreakBefore w:val="0"/>
        <w:numPr>
          <w:ilvl w:val="0"/>
          <w:numId w:val="0"/>
        </w:numPr>
        <w:kinsoku/>
        <w:wordWrap/>
        <w:overflowPunct/>
        <w:topLinePunct w:val="0"/>
        <w:autoSpaceDE/>
        <w:autoSpaceDN/>
        <w:bidi w:val="0"/>
        <w:adjustRightInd/>
        <w:spacing w:line="360" w:lineRule="auto"/>
        <w:ind w:firstLine="420" w:firstLineChars="200"/>
        <w:textAlignment w:val="auto"/>
        <w:rPr>
          <w:rFonts w:ascii="宋体" w:eastAsia="宋体" w:hAnsi="宋体" w:cs="宋体" w:hint="eastAsia"/>
          <w:lang w:val="en-US" w:eastAsia="zh-CN"/>
        </w:rPr>
      </w:pPr>
      <w:bookmarkStart w:id="0" w:name="_GoBack"/>
      <w:bookmarkEnd w:id="0"/>
    </w:p>
    <w:p w14:paraId="331CA46B"/>
    <w:sectPr>
      <w:pgSz w:w="11906" w:h="16838"/>
      <w:pgMar w:top="1440" w:right="1800" w:bottom="1440" w:left="1800" w:header="851" w:footer="992" w:gutter="0"/>
      <w:cols w:num="1" w:space="0"/>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embedSystemFonts/>
  <w:bordersDoNotSurroundHeader/>
  <w:bordersDoNotSurroundFooter/>
  <w:defaultTabStop w:val="420"/>
  <w:drawingGridVerticalSpacing w:val="156"/>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290639"/>
    <w:rsid w:val="3C290639"/>
    <w:rsid w:val="6E131BB7"/>
    <w:rsid w:val="7C1826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2026-10-31T08:30:00Z</dcterms:created>
  <dcterms:modified xsi:type="dcterms:W3CDTF">2026-10-31T08:32:04Z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150861FF8A6B44B1BBE9B36C63C7CF46_11</vt:lpwstr>
  </property>
  <property fmtid="{D5CDD505-2E9C-101B-9397-08002B2CF9AE}" pid="3" name="KSOProductBuildVer">
    <vt:lpwstr>2052-12.1.0.29161</vt:lpwstr>
  </property>
  <property fmtid="{D5CDD505-2E9C-101B-9397-08002B2CF9AE}" pid="4" name="KSOTemplateDocerSaveRecord">
    <vt:lpwstr>eyJoZGlkIjoiNDU3ZTI2MjBkNTEzNzY1OTdkZmY3ZjYxMTdjMWUxNDIiLCJ1c2VySWQiOiI1ODIxNTk5MDgifQ==</vt:lpwstr>
  </property>
</Properties>
</file>