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2484225">
      <w:pPr>
        <w:rPr>
          <w:rFonts w:hint="eastAsia"/>
        </w:rPr>
      </w:pPr>
      <w:r>
        <w:rPr>
          <w:rFonts w:hint="eastAsia"/>
        </w:rPr>
        <w:t>（二）过程控制：收款、开票与进度的三维监控</w:t>
      </w:r>
    </w:p>
    <w:p w14:paraId="3ADEEF7F">
      <w:pPr>
        <w:rPr>
          <w:rFonts w:hint="eastAsia"/>
        </w:rPr>
      </w:pPr>
      <w:r>
        <w:rPr>
          <w:rFonts w:hint="eastAsia"/>
        </w:rPr>
        <w:t>在项目层面以纳税期间为单位并列列出付款节点、实际收款、已开票金额以及两种口径收入的金额，收款或者开票先于会计确认时提示“已纳税未确认收入”的余额，反之提示“已确认收入未纳税”的余额，有条件的企业可以将此监控嵌入到信息系统当中，每个月度自动取数对比，降低人工干预。该机制运行的成本很低，但是使申报的准确性从依靠人的主观判断转变为依靠流程的控制。</w:t>
      </w:r>
    </w:p>
    <w:p w14:paraId="1A70C3FD">
      <w:pPr>
        <w:rPr>
          <w:rFonts w:hint="eastAsia"/>
        </w:rPr>
      </w:pPr>
      <w:r>
        <w:rPr>
          <w:rFonts w:hint="eastAsia"/>
        </w:rPr>
        <w:t>（三）合同前置：付款节点与税务条款的设计</w:t>
      </w:r>
    </w:p>
    <w:p w14:paraId="08DF390A">
      <w:pPr>
        <w:rPr>
          <w:rFonts w:hint="eastAsia"/>
        </w:rPr>
      </w:pPr>
      <w:r>
        <w:rPr>
          <w:rFonts w:hint="eastAsia"/>
        </w:rPr>
        <w:t>在投标阶段争取付款节点和履约进度一致，付款条件是以监理认可的计量支付为基础，EPC合同对各个部分的价款构成及交付标准做了明确的规定，为会计分拆提供依据[5]；质保金明确“缺陷责任期满且无质量问题后30日内支付”，并且对开票和收款时间点的关系进行了约定，从源头上缩减差异。</w:t>
      </w:r>
    </w:p>
    <w:p w14:paraId="2113BEA6">
      <w:pPr>
        <w:rPr>
          <w:rFonts w:hint="eastAsia"/>
        </w:rPr>
      </w:pPr>
      <w:r>
        <w:rPr>
          <w:rFonts w:hint="eastAsia"/>
        </w:rPr>
        <w:t>（四）台账支撑：税会差异台账的栏目设计</w:t>
      </w:r>
    </w:p>
    <w:p w14:paraId="34E3B82F">
      <w:pPr>
        <w:rPr>
          <w:rFonts w:hint="eastAsia"/>
        </w:rPr>
      </w:pPr>
      <w:r>
        <w:rPr>
          <w:rFonts w:hint="eastAsia"/>
        </w:rPr>
        <w:t>台账按项目台帐、纳税期间一行的原则设立九列，分别为合同履约成本、剔除无效成本、两种口径进度、三种口径收入、已纳税额、尚未反转的差异余额、更新责任由项目财务负责人承担，月结时设置“差异复核”节点，写入交接清单。</w:t>
      </w:r>
    </w:p>
    <w:p w14:paraId="037FF898">
      <w:pPr>
        <w:rPr>
          <w:rFonts w:hint="eastAsia"/>
        </w:rPr>
      </w:pPr>
      <w:r>
        <w:rPr>
          <w:rFonts w:hint="eastAsia"/>
        </w:rPr>
        <w:t>五、案例测算：某高层住宅工程的年度差异</w:t>
      </w:r>
    </w:p>
    <w:p w14:paraId="4723045B">
      <w:pPr>
        <w:rPr>
          <w:rFonts w:hint="eastAsia"/>
        </w:rPr>
      </w:pPr>
      <w:r>
        <w:rPr>
          <w:rFonts w:hint="eastAsia"/>
        </w:rPr>
        <w:t>（一）项目概况与测算假设</w:t>
      </w:r>
    </w:p>
    <w:p w14:paraId="3F586E28">
      <w:r>
        <w:rPr>
          <w:rFonts w:hint="eastAsia"/>
        </w:rPr>
        <w:t>本文以笔者所在单位2024年承建的某高层住宅工程为例，数据已经脱敏，合同总价（不含税）12000万元，预计总成本为10000万元，工期跨越2024、2025两个年度，业主按月计量支付预付款1200万（含税），一般计税税率9%，预征率2%；质保金为合同价款的3%，缺陷责任期24个月。假定各年实际成本和预计总成本相同，没有变更索赔，也没有递延所得税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F8C01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2026-10-31T06:39:11Z</dcterms:created>
  <dcterms:modified xsi:type="dcterms:W3CDTF">2026-10-31T06:39:18Z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36FCAC51359642208E75FAA3045AEF41_12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