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8DDEF9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color w:val="0000FF"/>
          <w:lang w:val="en-US" w:eastAsia="zh-CN"/>
        </w:rPr>
      </w:pPr>
      <w:r>
        <w:rPr>
          <w:rFonts w:hint="default"/>
          <w:color w:val="0000FF"/>
          <w:lang w:val="en-US" w:eastAsia="zh-CN"/>
        </w:rPr>
        <w:t>摘要</w:t>
      </w:r>
      <w:r>
        <w:rPr>
          <w:rFonts w:hint="eastAsia"/>
          <w:color w:val="0000FF"/>
          <w:lang w:val="en-US" w:eastAsia="zh-CN"/>
        </w:rPr>
        <w:t>：</w:t>
      </w:r>
      <w:r>
        <w:rPr>
          <w:rFonts w:hint="default"/>
          <w:color w:val="0000FF"/>
          <w:lang w:val="en-US" w:eastAsia="zh-CN"/>
        </w:rPr>
        <w:t>油气储运系统是油气产业链中间的枢纽，管道、储罐、阀组等设备常年处在介质腐蚀、压力变化、外部荷载、地质环境扰动等各种各样的作用之下，因此其安全风险具有隐蔽性、连锁性的特点。本文选取陆上原油集输站场储运设施为研究对象，用风险矩阵法结合失效模式分析的方式找出站场的主要风险源，对不同的设施单元进行风险等级的量化分析，归纳出当前设计所存在的防腐结构、泄压设计、管道支墩布置等设计缺陷。根据风险评价的结果，在储罐本体结构的改进、输油管道的敷设设计、安全联锁系统的配置、阴极保护系统的升级改造这四个方面提出相应的改进措施，用优化前后风险分值、事故概率指标进行对比，证明改进方案的合理性。研究成果可以给同类型的小型原油集输站储运设施风险控制及工程设计的调整给予一定的借鉴意义。</w:t>
      </w:r>
    </w:p>
    <w:p w14:paraId="4EF3AE5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color w:val="0000FF"/>
          <w:lang w:val="en-US" w:eastAsia="zh-CN"/>
        </w:rPr>
      </w:pPr>
      <w:r>
        <w:rPr>
          <w:rFonts w:hint="default"/>
          <w:color w:val="0000FF"/>
          <w:lang w:val="en-US" w:eastAsia="zh-CN"/>
        </w:rPr>
        <w:t>关键词：油气储运；风险评估；失效模式；储罐；管道设计优化</w:t>
      </w:r>
    </w:p>
    <w:p w14:paraId="312DCE2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color w:val="0000FF"/>
          <w:lang w:val="en-US" w:eastAsia="zh-CN"/>
        </w:rPr>
      </w:pPr>
      <w:r>
        <w:rPr>
          <w:rFonts w:hint="default"/>
          <w:color w:val="0000FF"/>
          <w:lang w:val="en-US" w:eastAsia="zh-CN"/>
        </w:rPr>
        <w:t>引言：</w:t>
      </w:r>
      <w:r>
        <w:rPr>
          <w:rFonts w:hint="eastAsia"/>
          <w:color w:val="0000FF"/>
          <w:lang w:val="en-US" w:eastAsia="zh-CN"/>
        </w:rPr>
        <w:t>我</w:t>
      </w:r>
      <w:r>
        <w:rPr>
          <w:rFonts w:hint="default"/>
          <w:color w:val="0000FF"/>
          <w:lang w:val="en-US" w:eastAsia="zh-CN"/>
        </w:rPr>
        <w:t>国陆上油气输送管网及站场设施不断扩容，大部分早期建成的原油集输站运行年限渐渐接近设计服役期，介质腐蚀、疲劳破坏、地基不均匀沉降等问题也渐渐暴露出来。储运设施一旦发生泄漏、着火、爆炸事件，就会造成人员伤亡、石油资源的浪费以及周边水土环境遭到破坏。目前部分站场设计阶段风险识别不全面，安全配套设备选型保守，运行期间没有形成常态化的量化风险评估体系，安全风险管控措施没有针对性</w:t>
      </w:r>
      <w:r>
        <w:rPr>
          <w:rFonts w:hint="default"/>
          <w:color w:val="0000FF"/>
          <w:vertAlign w:val="superscript"/>
          <w:lang w:val="en-US" w:eastAsia="zh-CN"/>
        </w:rPr>
        <w:t>[</w:t>
      </w:r>
      <w:r>
        <w:rPr>
          <w:rFonts w:hint="eastAsia"/>
          <w:color w:val="0000FF"/>
          <w:vertAlign w:val="superscript"/>
          <w:lang w:val="en-US" w:eastAsia="zh-CN"/>
        </w:rPr>
        <w:t>1</w:t>
      </w:r>
      <w:r>
        <w:rPr>
          <w:rFonts w:hint="default"/>
          <w:color w:val="0000FF"/>
          <w:vertAlign w:val="superscript"/>
          <w:lang w:val="en-US" w:eastAsia="zh-CN"/>
        </w:rPr>
        <w:t>]</w:t>
      </w:r>
      <w:r>
        <w:rPr>
          <w:rFonts w:hint="default"/>
          <w:color w:val="0000FF"/>
          <w:lang w:val="en-US" w:eastAsia="zh-CN"/>
        </w:rPr>
        <w:t>。本文以鲁北地区某原油集输站为研究对象，对储运设施进行系统的安全风险评价，找到高风险薄弱区域，对设计方案进行有针对性的优化，减少设施失效的概率，提高站场本质安全度。</w:t>
      </w:r>
    </w:p>
    <w:p w14:paraId="7D2AC0C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color w:val="0000FF"/>
          <w:lang w:val="en-US" w:eastAsia="zh-CN"/>
        </w:rPr>
      </w:pPr>
      <w:r>
        <w:rPr>
          <w:rFonts w:hint="default"/>
          <w:color w:val="0000FF"/>
          <w:lang w:val="en-US" w:eastAsia="zh-CN"/>
        </w:rPr>
        <w:t>2.1 风险识别方法与风险源清单构建</w:t>
      </w:r>
    </w:p>
    <w:p w14:paraId="49C7578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color w:val="0000FF"/>
          <w:lang w:val="en-US" w:eastAsia="zh-CN"/>
        </w:rPr>
      </w:pPr>
      <w:r>
        <w:rPr>
          <w:rFonts w:hint="default"/>
          <w:color w:val="0000FF"/>
          <w:lang w:val="en-US" w:eastAsia="zh-CN"/>
        </w:rPr>
        <w:t>本次评估用失效模式与影响分析(FMEA)加上现场检测以及历史故障台账的方式对风险进行识别，得到储运设施的各种失效模式。收集该站近五年的运维记录，得管道腐蚀穿孔、储罐底板渗漏、阀门内漏、密封失效、超压放空故障、地基沉降变形六种常见失效事件。</w:t>
      </w:r>
    </w:p>
    <w:p w14:paraId="07C854E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color w:val="0000FF"/>
          <w:lang w:val="en-US" w:eastAsia="zh-CN"/>
        </w:rPr>
      </w:pPr>
      <w:r>
        <w:rPr>
          <w:rFonts w:hint="default"/>
          <w:color w:val="0000FF"/>
          <w:lang w:val="en-US" w:eastAsia="zh-CN"/>
        </w:rPr>
        <w:t>按四个维度分为介质因素有原油含水、含硫组分、溶解氧，设备本体因素有管材缺陷、焊缝缺陷、防腐层破损，外部环境因素有土壤腐蚀、地下水浸泡、第三方干扰，人为及运维因素有巡检次数不够、清罐作业不规范、联锁保护校验滞后</w:t>
      </w:r>
      <w:r>
        <w:rPr>
          <w:rFonts w:hint="default"/>
          <w:color w:val="0000FF"/>
          <w:vertAlign w:val="superscript"/>
          <w:lang w:val="en-US" w:eastAsia="zh-CN"/>
        </w:rPr>
        <w:t>[</w:t>
      </w:r>
      <w:r>
        <w:rPr>
          <w:rFonts w:hint="eastAsia"/>
          <w:color w:val="0000FF"/>
          <w:vertAlign w:val="superscript"/>
          <w:lang w:val="en-US" w:eastAsia="zh-CN"/>
        </w:rPr>
        <w:t>2</w:t>
      </w:r>
      <w:r>
        <w:rPr>
          <w:rFonts w:hint="default"/>
          <w:color w:val="0000FF"/>
          <w:vertAlign w:val="superscript"/>
          <w:lang w:val="en-US" w:eastAsia="zh-CN"/>
        </w:rPr>
        <w:t>]</w:t>
      </w:r>
      <w:r>
        <w:rPr>
          <w:rFonts w:hint="default"/>
          <w:color w:val="0000FF"/>
          <w:lang w:val="en-US" w:eastAsia="zh-CN"/>
        </w:rPr>
        <w:t>。</w:t>
      </w:r>
    </w:p>
    <w:p w14:paraId="44465EA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color w:val="0000FF"/>
          <w:lang w:val="en-US" w:eastAsia="zh-CN"/>
        </w:rPr>
      </w:pPr>
      <w:r>
        <w:rPr>
          <w:rFonts w:hint="default"/>
          <w:color w:val="0000FF"/>
          <w:lang w:val="en-US" w:eastAsia="zh-CN"/>
        </w:rPr>
        <w:t>2.2 风险矩阵量化分级评估</w:t>
      </w:r>
    </w:p>
    <w:p w14:paraId="350D7417">
      <w:pPr>
        <w:rPr>
          <w:rFonts w:hint="default"/>
          <w:color w:val="0000FF"/>
          <w:lang w:val="en-US" w:eastAsia="zh-CN"/>
        </w:rPr>
      </w:pPr>
      <w:r>
        <w:rPr>
          <w:rFonts w:hint="default"/>
          <w:color w:val="0000FF"/>
          <w:lang w:val="en-US" w:eastAsia="zh-CN"/>
        </w:rPr>
        <w:t>风险矩阵法把失效发生概率P和事故后果严重度C作为计算风险值R的两个主要参数，计算公式为R=P×C。概率等级分为5级，后果等级分为5级，风险值R≥16为重大风险，10≤R≤15为较大风险，5≤R≤9为一般风险，1≤R≤4为低风险。组织安全、工艺、设备专业人员联合打分，根据壁厚检测、腐蚀速率实测数据对打分结果进行修正，最后得到各个单元的风险评价结果。</w:t>
      </w:r>
    </w:p>
    <w:p w14:paraId="3409A613">
      <w:pPr>
        <w:rPr>
          <w:rFonts w:hint="default"/>
          <w:color w:val="0000FF"/>
          <w:lang w:val="en-US" w:eastAsia="zh-CN"/>
        </w:rPr>
      </w:pPr>
    </w:p>
    <w:p w14:paraId="1727D783">
      <w:pPr>
        <w:rPr>
          <w:rFonts w:hint="default"/>
          <w:color w:val="0000FF"/>
          <w:lang w:val="en-US" w:eastAsia="zh-CN"/>
        </w:rPr>
      </w:pPr>
    </w:p>
    <w:p w14:paraId="59366B2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color w:val="0000FF"/>
          <w:lang w:val="en-US" w:eastAsia="zh-CN"/>
        </w:rPr>
      </w:pPr>
      <w:r>
        <w:rPr>
          <w:rFonts w:hint="default"/>
          <w:color w:val="0000FF"/>
          <w:lang w:val="en-US" w:eastAsia="zh-CN"/>
        </w:rPr>
        <w:t>从评估结果来看，本站的储罐底板腐蚀渗漏是最大的风险点，第二高的就是埋地管道弯头处。现场检测数据表明，储罐底板局部腐蚀速度最大可达0.14mm/a，远超规范所允许的0.076mm/a控制值；埋地管道弯头处的平均腐蚀速度为0.092mm/a，比管道直管段的0.041mm/a要高，弯头处的流体冲刷和电化学腐蚀叠加，使损伤发展的速度比直管段快得多。</w:t>
      </w:r>
    </w:p>
    <w:p w14:paraId="12DB106F">
      <w:pPr>
        <w:rPr>
          <w:rFonts w:hint="default"/>
          <w:color w:val="0000FF"/>
          <w:lang w:val="en-US" w:eastAsia="zh-CN"/>
        </w:rPr>
      </w:pPr>
      <w:r>
        <w:rPr>
          <w:rFonts w:hint="default"/>
          <w:color w:val="0000FF"/>
          <w:lang w:val="en-US" w:eastAsia="zh-CN"/>
        </w:rPr>
        <w:t>根据风险评估结果绘制站场储运设施风险分布图（图1），图中重大风险区、较大风险区、一般风险区的位置被标注出来，可以清晰地体现风险的空间分布规律，也为之后有针对性的设计优化提供重点区域划分依据。</w:t>
      </w:r>
    </w:p>
    <w:p w14:paraId="16CB69EF">
      <w:pPr>
        <w:rPr>
          <w:rFonts w:hint="default"/>
          <w:color w:val="0000FF"/>
          <w:lang w:val="en-US" w:eastAsia="zh-CN"/>
        </w:rPr>
      </w:pPr>
    </w:p>
    <w:p w14:paraId="1D81F112">
      <w:pPr>
        <w:rPr>
          <w:rFonts w:hint="default"/>
          <w:color w:val="0000FF"/>
          <w:lang w:val="en-US" w:eastAsia="zh-CN"/>
        </w:rPr>
      </w:pPr>
    </w:p>
    <w:p w14:paraId="02A763C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color w:val="0000FF"/>
          <w:lang w:val="en-US" w:eastAsia="zh-CN"/>
        </w:rPr>
      </w:pPr>
      <w:r>
        <w:rPr>
          <w:rFonts w:hint="default"/>
          <w:color w:val="0000FF"/>
          <w:lang w:val="en-US" w:eastAsia="zh-CN"/>
        </w:rPr>
        <w:t>4.3 优化方案局限性与后续改进方向</w:t>
      </w:r>
    </w:p>
    <w:p w14:paraId="3AEC820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color w:val="0000FF"/>
          <w:lang w:val="en-US" w:eastAsia="zh-CN"/>
        </w:rPr>
      </w:pPr>
      <w:r>
        <w:rPr>
          <w:rFonts w:hint="default"/>
          <w:color w:val="0000FF"/>
          <w:lang w:val="en-US" w:eastAsia="zh-CN"/>
        </w:rPr>
        <w:t>本次优化以被动防护、结构加固为主，介质内腐蚀只靠缓蚀剂常规控制，并未设置管内腐蚀内检测装置；站场第三方破坏风险主要是依靠视频监控、巡线控制，防护措施较为薄弱。后续在具备条件的时候对管道进行定期检测，并不断更新风险评估台账，建立每年一次动态风险评价制度，根据介质组分的变化和腐蚀检测数据的变化，对防护参数做持续微调，达到储运设施长效管控的目的。</w:t>
      </w:r>
    </w:p>
    <w:p w14:paraId="3B0C626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color w:val="0000FF"/>
          <w:lang w:val="en-US" w:eastAsia="zh-CN"/>
        </w:rPr>
        <w:t>结论油</w:t>
      </w:r>
      <w:r>
        <w:rPr>
          <w:rFonts w:hint="eastAsia"/>
          <w:color w:val="0000FF"/>
          <w:lang w:val="en-US" w:eastAsia="zh-CN"/>
        </w:rPr>
        <w:t>气</w:t>
      </w:r>
      <w:r>
        <w:rPr>
          <w:rFonts w:hint="default"/>
          <w:color w:val="0000FF"/>
          <w:lang w:val="en-US" w:eastAsia="zh-CN"/>
        </w:rPr>
        <w:t>储运设施安全风险分布很不均匀，储罐底板、管道弯头、阀组密封等处容易是高风险薄弱点。工程实施表明，以风险评价为导向的设计优化模式并非对全部设施都用统一的设计标准来提高，而是在高危单元上集中发力，可以减少设施的失效概率，提高站场本质安全度。该套评价及优化的思路流程比较清楚，所用的检测参数以及评价的方法比较成熟，可以用于国内同类型中小规模的陆上原油集输站储运设施安全提升工作。后续的工程设计中要将定量的风险评价提前到初步设计阶段，按照风险等级选定各个部位的安全设计余量，促使油气储运设施的设计由原来的规范最低标准向风险精准控制转变。</w:t>
      </w:r>
    </w:p>
    <w:p w14:paraId="0536CFC0">
      <w:pPr>
        <w:rPr>
          <w:rFonts w:hint="eastAsia"/>
          <w:color w:val="0000FF"/>
          <w:lang w:val="en-US" w:eastAsia="zh-CN"/>
        </w:rPr>
      </w:pPr>
      <w:bookmarkStart w:id="0" w:name="_GoBack"/>
      <w:bookmarkEnd w:id="0"/>
    </w:p>
    <w:sectPr>
      <w:footerReference w:type="default" r:id="rId5"/>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B5B9490">
    <w:pPr>
      <w:pStyle w:val="Foo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61312" coordsize="21600,21600" filled="f" stroked="f">
              <o:lock v:ext="edit" aspectratio="f"/>
              <v:textbox style="mso-fit-shape-to-text:t" inset="0,0,0,0">
                <w:txbxContent>
                  <w:p w14:paraId="7E4A7E4A">
                    <w:pPr>
                      <w:pStyle w:val="Footer"/>
                    </w:pPr>
                    <w:r>
                      <w:fldChar w:fldCharType="begin"/>
                    </w:r>
                    <w:r>
                      <w:instrText xml:space="preserve"> PAGE  \* MERGEFORMAT </w:instrText>
                    </w:r>
                    <w:r>
                      <w:fldChar w:fldCharType="separate"/>
                    </w:r>
                    <w:r>
                      <w:t>5</w:t>
                    </w:r>
                    <w:r>
                      <w:fldChar w:fldCharType="end"/>
                    </w:r>
                  </w:p>
                </w:txbxContent>
              </v:textbox>
              <w10:wrap anchorx="margin"/>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hint="eastAsia"/>
                              <w:lang w:val="en-US" w:eastAsia="zh-CN"/>
                            </w:rPr>
                          </w:pPr>
                        </w:p>
                        <w:p>
                          <w:pPr>
                            <w:pStyle w:val="Footer"/>
                            <w:rPr>
                              <w:rFonts w:hint="default"/>
                              <w:lang w:val="en-US" w:eastAsia="zh-CN"/>
                            </w:rPr>
                          </w:pPr>
                        </w:p>
                        <w:p>
                          <w:pPr>
                            <w:pStyle w:val="Footer"/>
                            <w:rPr>
                              <w:rFonts w:hint="eastAsia"/>
                              <w:lang w:val="en-US"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2050"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14:paraId="15101A80">
                    <w:pPr>
                      <w:pStyle w:val="Footer"/>
                      <w:rPr>
                        <w:rFonts w:hint="eastAsia"/>
                        <w:lang w:val="en-US" w:eastAsia="zh-CN"/>
                      </w:rPr>
                    </w:pPr>
                  </w:p>
                  <w:p w14:paraId="33616060">
                    <w:pPr>
                      <w:pStyle w:val="Footer"/>
                      <w:rPr>
                        <w:rFonts w:hint="default"/>
                        <w:lang w:val="en-US" w:eastAsia="zh-CN"/>
                      </w:rPr>
                    </w:pPr>
                  </w:p>
                  <w:p w14:paraId="0315B87E">
                    <w:pPr>
                      <w:pStyle w:val="Footer"/>
                      <w:rPr>
                        <w:rFonts w:hint="eastAsia"/>
                        <w:lang w:val="en-US" w:eastAsia="zh-CN"/>
                      </w:rPr>
                    </w:pP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7C729A"/>
    <w:rsid w:val="03D64084"/>
    <w:rsid w:val="04E40EF7"/>
    <w:rsid w:val="057529DA"/>
    <w:rsid w:val="062D6B9D"/>
    <w:rsid w:val="06AB06FE"/>
    <w:rsid w:val="0951022B"/>
    <w:rsid w:val="0B1565EA"/>
    <w:rsid w:val="0DC67402"/>
    <w:rsid w:val="0E6025CB"/>
    <w:rsid w:val="0FC53CE9"/>
    <w:rsid w:val="10FC7A0C"/>
    <w:rsid w:val="110A3A14"/>
    <w:rsid w:val="15BC4E5A"/>
    <w:rsid w:val="16D503E4"/>
    <w:rsid w:val="17760B6F"/>
    <w:rsid w:val="1CCE1EE1"/>
    <w:rsid w:val="1E11009B"/>
    <w:rsid w:val="1F5D5A23"/>
    <w:rsid w:val="21FB1255"/>
    <w:rsid w:val="23A93707"/>
    <w:rsid w:val="23EE5E61"/>
    <w:rsid w:val="24804BB5"/>
    <w:rsid w:val="259C73C6"/>
    <w:rsid w:val="26677593"/>
    <w:rsid w:val="2B3207F8"/>
    <w:rsid w:val="2B82123D"/>
    <w:rsid w:val="2B91176C"/>
    <w:rsid w:val="2C593256"/>
    <w:rsid w:val="30C80E93"/>
    <w:rsid w:val="322F63DF"/>
    <w:rsid w:val="32566459"/>
    <w:rsid w:val="34A37A6F"/>
    <w:rsid w:val="350F525A"/>
    <w:rsid w:val="364F4412"/>
    <w:rsid w:val="396561F6"/>
    <w:rsid w:val="3A634EC7"/>
    <w:rsid w:val="3F22501A"/>
    <w:rsid w:val="425E118F"/>
    <w:rsid w:val="43716BA9"/>
    <w:rsid w:val="45C2510F"/>
    <w:rsid w:val="46F0277E"/>
    <w:rsid w:val="47B2458A"/>
    <w:rsid w:val="49136D17"/>
    <w:rsid w:val="49325F42"/>
    <w:rsid w:val="4B7033E4"/>
    <w:rsid w:val="4F2B3B05"/>
    <w:rsid w:val="4F3D659F"/>
    <w:rsid w:val="52145EE2"/>
    <w:rsid w:val="538114A4"/>
    <w:rsid w:val="54AE5DAD"/>
    <w:rsid w:val="57CA584B"/>
    <w:rsid w:val="5AE22543"/>
    <w:rsid w:val="5BBD3D11"/>
    <w:rsid w:val="5C8F7981"/>
    <w:rsid w:val="5DBB53CC"/>
    <w:rsid w:val="5FD73794"/>
    <w:rsid w:val="60647EB6"/>
    <w:rsid w:val="609F1996"/>
    <w:rsid w:val="610C5BEA"/>
    <w:rsid w:val="649B63FC"/>
    <w:rsid w:val="653501C5"/>
    <w:rsid w:val="668F66D2"/>
    <w:rsid w:val="66B70634"/>
    <w:rsid w:val="68FD5D5B"/>
    <w:rsid w:val="69A24D27"/>
    <w:rsid w:val="69D42CB8"/>
    <w:rsid w:val="6A333127"/>
    <w:rsid w:val="6B743AC4"/>
    <w:rsid w:val="6C227DB7"/>
    <w:rsid w:val="6CE2153C"/>
    <w:rsid w:val="70763F9A"/>
    <w:rsid w:val="72A638AD"/>
    <w:rsid w:val="72F85BFE"/>
    <w:rsid w:val="78A155D2"/>
    <w:rsid w:val="79341B08"/>
    <w:rsid w:val="7A4E33A4"/>
    <w:rsid w:val="7A7A06ED"/>
    <w:rsid w:val="7AA4268F"/>
    <w:rsid w:val="7AEE6B12"/>
    <w:rsid w:val="7BA026E0"/>
    <w:rsid w:val="7BED6D2C"/>
    <w:rsid w:val="7D1559B4"/>
    <w:rsid w:val="7EDD65A0"/>
    <w:rsid w:val="7EEF36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BodyTextIndent">
    <w:name w:val="Body Text Indent"/>
    <w:basedOn w:val="Normal"/>
    <w:qFormat/>
    <w:pPr>
      <w:spacing w:after="120" w:afterLines="0" w:afterAutospacing="0"/>
      <w:ind w:left="420" w:leftChars="200"/>
    </w:pPr>
  </w:style>
  <w:style w:type="paragraph" w:styleId="Footer">
    <w:name w:val="footer"/>
    <w:basedOn w:val="Normal"/>
    <w:uiPriority w:val="99"/>
    <w:qFormat/>
    <w:pPr>
      <w:widowControl w:val="0"/>
      <w:tabs>
        <w:tab w:val="center" w:pos="4153"/>
        <w:tab w:val="right" w:pos="8306"/>
      </w:tabs>
      <w:snapToGrid w:val="0"/>
      <w:jc w:val="left"/>
    </w:pPr>
    <w:rPr>
      <w:rFonts w:ascii="Times New Roman" w:eastAsia="宋体" w:hAnsi="Times New Roman" w:cs="Times New Roman"/>
      <w:kern w:val="2"/>
      <w:sz w:val="18"/>
      <w:szCs w:val="18"/>
      <w:lang w:val="en-US" w:eastAsia="zh-CN" w:bidi="ar-SA"/>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paragraph" w:styleId="BodyTextFirstIndent2">
    <w:name w:val="Body Text First Indent 2"/>
    <w:basedOn w:val="BodyTextIndent"/>
    <w:qFormat/>
    <w:pPr>
      <w:ind w:firstLine="420" w:firstLineChars="200"/>
    </w:pPr>
  </w:style>
  <w:style w:type="character" w:styleId="Strong">
    <w:name w:val="Strong"/>
    <w:basedOn w:val="DefaultParagraphFont"/>
    <w:qFormat/>
    <w:rPr>
      <w:b/>
    </w:rPr>
  </w:style>
  <w:style w:type="paragraph" w:customStyle="1" w:styleId="a">
    <w:name w:val="中文摘要"/>
    <w:basedOn w:val="Normal"/>
    <w:next w:val="Normal"/>
    <w:qFormat/>
    <w:pPr>
      <w:widowControl w:val="0"/>
      <w:suppressAutoHyphens/>
      <w:autoSpaceDE w:val="0"/>
      <w:autoSpaceDN w:val="0"/>
      <w:snapToGrid w:val="0"/>
      <w:spacing w:before="120" w:beforeLines="50" w:line="300" w:lineRule="exact"/>
      <w:jc w:val="both"/>
    </w:pPr>
    <w:rPr>
      <w:rFonts w:ascii="Times New Roman" w:eastAsia="宋体" w:hAnsi="Times New Roman" w:cs="Times New Roman"/>
      <w:color w:val="000000"/>
      <w:kern w:val="0"/>
      <w:sz w:val="18"/>
      <w:szCs w:val="18"/>
      <w:lang w:val="zh-CN"/>
      <w14:ligatures w14:val="none"/>
    </w:rPr>
  </w:style>
  <w:style w:type="paragraph" w:customStyle="1" w:styleId="1">
    <w:name w:val="节题1"/>
    <w:basedOn w:val="Normal"/>
    <w:next w:val="Normal"/>
    <w:qFormat/>
    <w:pPr>
      <w:widowControl w:val="0"/>
      <w:suppressAutoHyphens/>
      <w:autoSpaceDE w:val="0"/>
      <w:autoSpaceDN w:val="0"/>
      <w:snapToGrid w:val="0"/>
      <w:spacing w:before="120" w:beforeLines="50" w:after="120" w:afterLines="50" w:line="314" w:lineRule="atLeast"/>
      <w:jc w:val="both"/>
    </w:pPr>
    <w:rPr>
      <w:rFonts w:ascii="Times New Roman" w:eastAsia="宋体" w:hAnsi="Times New Roman" w:cs="Times New Roman"/>
      <w:b/>
      <w:bCs/>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2546</Words>
  <Characters>2550</Characters>
  <Application>Microsoft Office Word</Application>
  <DocSecurity>0</DocSecurity>
  <Lines>0</Lines>
  <Paragraphs>0</Paragraphs>
  <ScaleCrop>false</ScaleCrop>
  <Company/>
  <LinksUpToDate>false</LinksUpToDate>
  <CharactersWithSpaces>2550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2026-10-30T10:15:51Z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