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3FF5B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eastAsia="仿宋_GB2312"/>
          <w:bCs/>
          <w:sz w:val="24"/>
        </w:rPr>
      </w:pPr>
      <w:r>
        <w:rPr>
          <w:rFonts w:ascii="仿宋_GB2312" w:eastAsia="仿宋_GB2312" w:hint="eastAsia"/>
          <w:bCs/>
          <w:sz w:val="24"/>
        </w:rPr>
        <w:t>.具体研究内容或对象：</w:t>
      </w:r>
    </w:p>
    <w:p w14:paraId="43F8DF2A">
      <w:pP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本课题以地方产业数智化转型为背景，以高职软件技术专业《Web前端开发》课程为研究对象，解决高职学生专业认同感不强、竞赛资源不能融入日常教学、学生基础水平参差不齐、综合能力无法满足产业数智化转型的需求等主要问题，提出把专业精神、赛教融合、分层教学三者结合在一起的“专业精神引领、赛教融合赋能、分层进阶育人”的“专业精神引领、赛教融合赋能、分层进阶育人”教学模式。</w:t>
      </w:r>
    </w:p>
    <w:p w14:paraId="61389B08">
      <w:pPr>
        <w:pStyle w:val="NormalWeb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480" w:leftChars="0" w:rightChars="0" w:firstLineChars="200"/>
        <w:textAlignment w:val="auto"/>
        <w:rPr>
          <w:rFonts w:ascii="仿宋_GB2312" w:eastAsia="仿宋_GB2312" w:hAnsi="仿宋_GB2312" w:cs="仿宋_GB2312" w:hint="default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default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（1）以专业精神为重心的课程思政研究</w:t>
      </w: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：</w:t>
      </w:r>
      <w:r>
        <w:rPr>
          <w:rFonts w:ascii="仿宋_GB2312" w:eastAsia="仿宋_GB2312" w:hAnsi="仿宋_GB2312" w:cs="仿宋_GB2312" w:hint="default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根据软件技术专业的特点以及学校的文化，从软件技术专业前端课程日常教学的角度出发，对思政教育进行有目的的渗透，不能只对一个案例做简单的讲解。具体安排如下表所示，分为四个部分。</w:t>
      </w:r>
    </w:p>
    <w:p w14:paraId="19A024C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72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5.课题预期效果（含实施范围、受益范围）等。经过以上</w:t>
      </w:r>
    </w:p>
    <w:p w14:paraId="02541D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教学改革之后学生对专业有了新的认识，实践能力和创新性有了提高，就业竞争力也得到明显的提升。教师课程建设、课程实施过程中专业技能与竞赛指导水平提高。产出的模块化教学资源具有较好的移植性，可以移植到其他的编程课程当中。因此本模式符合地方产业“数智化”转型的需求，能迅速输出有高技能的前端人才。</w:t>
      </w:r>
    </w:p>
    <w:p w14:paraId="2248EC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</w:p>
    <w:p w14:paraId="7AC6A7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（1）特色</w:t>
      </w:r>
    </w:p>
    <w:p w14:paraId="0555EB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将技能比赛与前端课程相结合，创建起“赛教融通”模式。打通理论知识、操作能力、竞赛实践、企业案例四条渠道，提高学生实践能力和创新能力。</w:t>
      </w:r>
    </w:p>
    <w:p w14:paraId="740395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（2）创新点</w:t>
      </w:r>
    </w:p>
    <w:p w14:paraId="7B3768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创建“专业精神引领、赛教融合赋能、分层进阶育人”教学范式。借助AI助教、大模型对赛教内容进行重组，在课程思政中加入专业精神，使学生各方面能力得到全面提高。</w:t>
      </w:r>
    </w:p>
    <w:p w14:paraId="6F50DF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（3）应用价值及推广途径</w:t>
      </w:r>
      <w:bookmarkStart w:id="0" w:name="_GoBack"/>
      <w:bookmarkEnd w:id="0"/>
    </w:p>
    <w:p w14:paraId="465F9F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jc w:val="left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  <w: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  <w:t>产出的资源库、案例集和经验可以被用到其它的计算机课程中，为区域人才的培养提供可借鉴的途径。</w:t>
      </w:r>
    </w:p>
    <w:p w14:paraId="27F698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leftChars="0" w:firstLineChars="200"/>
        <w:textAlignment w:val="auto"/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</w:p>
    <w:p w14:paraId="4D1E1E9A">
      <w:pPr>
        <w:rPr>
          <w:rFonts w:ascii="仿宋_GB2312" w:eastAsia="仿宋_GB2312" w:hAnsi="仿宋_GB2312" w:cs="仿宋_GB2312" w:hint="eastAsia"/>
          <w:snapToGrid w:val="0"/>
          <w:color w:val="0000FF"/>
          <w:spacing w:val="-1"/>
          <w:kern w:val="0"/>
          <w:sz w:val="24"/>
          <w:szCs w:val="24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FC91104"/>
    <w:rsid w:val="4A745FE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1382</Words>
  <Characters>1427</Characters>
  <Application>Microsoft Office Word</Application>
  <DocSecurity>0</DocSecurity>
  <Lines>0</Lines>
  <Paragraphs>0</Paragraphs>
  <ScaleCrop>false</ScaleCrop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2026-10-29T22:13:00Z</dcterms:created>
  <dcterms:modified xsi:type="dcterms:W3CDTF">2026-10-30T03:08:11Z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CA9144AA03524641BE2B70A655154F83_12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