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C9EB197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420" w:firstLineChars="200"/>
        <w:textAlignment w:val="auto"/>
        <w:rPr>
          <w:rFonts w:ascii="宋体" w:eastAsia="宋体" w:hAnsi="宋体" w:cs="宋体" w:hint="eastAsia"/>
          <w:sz w:val="21"/>
          <w:szCs w:val="21"/>
        </w:rPr>
      </w:pPr>
      <w:r>
        <w:rPr>
          <w:rStyle w:val="Strong"/>
          <w:rFonts w:ascii="宋体" w:eastAsia="宋体" w:hAnsi="宋体" w:cs="宋体" w:hint="eastAsia"/>
          <w:kern w:val="2"/>
          <w:sz w:val="21"/>
          <w:szCs w:val="21"/>
          <w:lang w:bidi="ar-SA"/>
        </w:rPr>
        <w:t>3.分层施策——差异化提升路径构建</w:t>
      </w:r>
    </w:p>
    <w:p w14:paraId="72366161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420" w:firstLineChars="200"/>
        <w:textAlignment w:val="auto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通过调研得到的素养分层结果，对新手教师、骨干教师、老年教师做出不同的培养计划。采用线上自主研修、校本实操工坊、名师结对指导等方法，以课堂数字化转型为依托，以数字资源加工、智慧课堂实施、学情数据挖掘等操作能力为重点，按照不同的教师群体制定发展路线。</w:t>
      </w:r>
    </w:p>
    <w:p w14:paraId="227FF16F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420" w:firstLineChars="200"/>
        <w:textAlignment w:val="auto"/>
        <w:rPr>
          <w:rFonts w:ascii="宋体" w:eastAsia="宋体" w:hAnsi="宋体" w:cs="宋体" w:hint="eastAsia"/>
          <w:sz w:val="21"/>
          <w:szCs w:val="21"/>
        </w:rPr>
      </w:pPr>
      <w:r>
        <w:rPr>
          <w:rStyle w:val="Strong"/>
          <w:rFonts w:ascii="宋体" w:eastAsia="宋体" w:hAnsi="宋体" w:cs="宋体" w:hint="eastAsia"/>
          <w:kern w:val="2"/>
          <w:sz w:val="21"/>
          <w:szCs w:val="21"/>
          <w:lang w:bidi="ar-SA"/>
        </w:rPr>
        <w:t>4.机制护航——长效保障体系搭建</w:t>
      </w:r>
    </w:p>
    <w:p w14:paraId="0046C974">
      <w:pPr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创建校本数字素养培训制度，建立常态化的研修制度，创建学校共享的数字教学资源库，减轻教师开发工作压力，制定过程性评价办法，把数字应用当作教师评价、评优的标准，优化设备配备和技术维护，保证教师使用。制度、资源、评价、技术这四个因素共同推动的育人过程就是常态化的育人。</w:t>
      </w:r>
    </w:p>
    <w:p w14:paraId="0E7FAB2E">
      <w:pPr>
        <w:rPr>
          <w:rFonts w:ascii="宋体" w:eastAsia="宋体" w:hAnsi="宋体" w:cs="宋体" w:hint="eastAsia"/>
          <w:sz w:val="21"/>
          <w:szCs w:val="21"/>
        </w:rPr>
      </w:pPr>
    </w:p>
    <w:tbl>
      <w:tblPr>
        <w:tblStyle w:val="TableNormal"/>
        <w:tblW w:w="8522" w:type="dxa"/>
        <w:jc w:val="center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shd w:val="clear" w:color="auto" w:fill="auto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20"/>
        <w:gridCol w:w="3398"/>
        <w:gridCol w:w="3204"/>
      </w:tblGrid>
      <w:tr w14:paraId="630CB5EE">
        <w:tblPrEx>
          <w:tblW w:w="8522" w:type="dxa"/>
          <w:jc w:val="center"/>
          <w:tblBorders>
            <w:top w:val="none" w:sz="4" w:space="0" w:color="auto"/>
            <w:left w:val="none" w:sz="4" w:space="0" w:color="auto"/>
            <w:bottom w:val="none" w:sz="4" w:space="0" w:color="auto"/>
            <w:right w:val="none" w:sz="4" w:space="0" w:color="auto"/>
            <w:insideH w:val="none" w:sz="4" w:space="0" w:color="auto"/>
            <w:insideV w:val="none" w:sz="4" w:space="0" w:color="auto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hRule="auto" w:val="0"/>
          <w:tblHeader/>
          <w:jc w:val="center"/>
        </w:trPr>
        <w:tc>
          <w:tcPr>
            <w:tcW w:w="19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FB4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研究时间</w:t>
            </w:r>
          </w:p>
        </w:tc>
        <w:tc>
          <w:tcPr>
            <w:tcW w:w="339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E1A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实施内容</w:t>
            </w:r>
          </w:p>
        </w:tc>
        <w:tc>
          <w:tcPr>
            <w:tcW w:w="320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78D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研究分工</w:t>
            </w:r>
          </w:p>
        </w:tc>
      </w:tr>
      <w:tr w14:paraId="1C316CB5">
        <w:tblPrEx>
          <w:tblW w:w="8522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hRule="auto" w:val="0"/>
          <w:jc w:val="center"/>
        </w:trPr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230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val="en-US" w:eastAsia="zh-CN" w:bidi="ar"/>
              </w:rPr>
              <w:t>2026.11—2027.02</w:t>
            </w:r>
          </w:p>
          <w:p w14:paraId="4EFAD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val="en-US" w:eastAsia="zh-CN" w:bidi="ar"/>
              </w:rPr>
              <w:t>（准备与调查）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847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right="0" w:firstLine="0" w:leftChars="0" w:rightChars="0" w:firstLineChars="0"/>
              <w:jc w:val="left"/>
              <w:textAlignment w:val="auto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val="en-US" w:eastAsia="zh-CN" w:bidi="ar"/>
              </w:rPr>
              <w:t>制定研究方案，设计数字素养调查问卷及访谈提纲，对问卷做预试修改；对全校教师做问卷、课堂观察和访谈，得到基本数据</w:t>
            </w:r>
          </w:p>
        </w:tc>
        <w:tc>
          <w:tcPr>
            <w:tcW w:w="32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DEB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right="0" w:firstLine="0" w:leftChars="0" w:rightChars="0" w:firstLineChars="0"/>
              <w:jc w:val="left"/>
              <w:textAlignment w:val="auto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val="en-US" w:eastAsia="zh-CN" w:bidi="ar"/>
              </w:rPr>
              <w:t>张红丽统筹方案设计；姬春良编制问卷、组织数据采集；丁一安排课堂观察与访谈；荆海山整理问卷数据</w:t>
            </w:r>
          </w:p>
        </w:tc>
      </w:tr>
      <w:tr w14:paraId="4C06A34E">
        <w:tblPrEx>
          <w:tblW w:w="8522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hRule="auto" w:val="0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4A7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val="en-US" w:eastAsia="zh-CN" w:bidi="ar"/>
              </w:rPr>
              <w:t>2027.03—2027.07</w:t>
            </w:r>
          </w:p>
          <w:p w14:paraId="1D689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val="en-US" w:eastAsia="zh-CN" w:bidi="ar"/>
              </w:rPr>
              <w:t>（分析与实施）</w:t>
            </w:r>
          </w:p>
        </w:tc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ECD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right="0" w:firstLine="0" w:leftChars="0" w:rightChars="0" w:firstLineChars="0"/>
              <w:jc w:val="left"/>
              <w:textAlignment w:val="auto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val="en-US" w:eastAsia="zh-CN" w:bidi="ar"/>
              </w:rPr>
              <w:t>整理素养差异及制约因素，形成现状及原因分析报告，建立提升策略，开展校本培训，搭建共享数字资源库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87F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right="0" w:firstLine="0" w:leftChars="0" w:rightChars="0" w:firstLineChars="0"/>
              <w:jc w:val="left"/>
              <w:textAlignment w:val="auto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val="en-US" w:eastAsia="zh-CN" w:bidi="ar"/>
              </w:rPr>
              <w:t>张红丽搭建分析框架并提出策略，姬春良做数据统计和技术支持，丁一负责培训活动及课堂观察，荆海山创建资源库，对实施过程进行记录。</w:t>
            </w:r>
          </w:p>
        </w:tc>
      </w:tr>
      <w:tr w14:paraId="4DC26920">
        <w:tblPrEx>
          <w:tblW w:w="8522" w:type="dxa"/>
          <w:jc w:val="center"/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hRule="auto" w:val="0"/>
          <w:jc w:val="center"/>
        </w:trPr>
        <w:tc>
          <w:tcPr>
            <w:tcW w:w="19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625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val="en-US" w:eastAsia="zh-CN" w:bidi="ar"/>
              </w:rPr>
              <w:t>2027.08—2027.10</w:t>
            </w:r>
          </w:p>
          <w:p w14:paraId="73FDC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right="0" w:firstLine="0" w:leftChars="0" w:rightChars="0" w:firstLineChars="0"/>
              <w:jc w:val="center"/>
              <w:textAlignment w:val="auto"/>
              <w:rPr>
                <w:rFonts w:ascii="宋体" w:eastAsia="宋体" w:hAnsi="宋体" w:cs="宋体" w:hint="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val="en-US" w:eastAsia="zh-CN" w:bidi="ar"/>
              </w:rPr>
              <w:t>（总结与提升）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BC0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right="0" w:firstLine="0" w:leftChars="0" w:rightChars="0" w:firstLineChars="0"/>
              <w:jc w:val="left"/>
              <w:textAlignment w:val="auto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val="en-US" w:eastAsia="zh-CN" w:bidi="ar"/>
              </w:rPr>
              <w:t>开展二次问卷与课堂观察，评估策略成效；修订完善提升路径与保障机制，撰写研究报告、论文与结题材料</w:t>
            </w:r>
          </w:p>
        </w:tc>
        <w:tc>
          <w:tcPr>
            <w:tcW w:w="32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7D0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 w:right="0" w:firstLine="0" w:leftChars="0" w:rightChars="0" w:firstLineChars="0"/>
              <w:jc w:val="left"/>
              <w:textAlignment w:val="auto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val="en-US" w:eastAsia="zh-CN" w:bidi="ar"/>
              </w:rPr>
              <w:t>张红丽主持报告撰写与成果整理；姬春良完成成效数据分析；丁一汇总教师反馈；荆海山整理过程材料</w:t>
            </w:r>
          </w:p>
        </w:tc>
      </w:tr>
    </w:tbl>
    <w:p w14:paraId="36C142F7">
      <w:pPr>
        <w:rPr>
          <w:rFonts w:ascii="宋体" w:eastAsia="宋体" w:hAnsi="宋体" w:cs="宋体" w:hint="eastAsia"/>
          <w:sz w:val="21"/>
          <w:szCs w:val="21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0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embedSystemFonts/>
  <w:bordersDoNotSurroundHeader/>
  <w:bordersDoNotSurroundFooter/>
  <w:defaultTabStop w:val="42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EF7D4C"/>
    <w:rsid w:val="0FEF7D4C"/>
    <w:rsid w:val="18B34294"/>
    <w:rsid w:val="6E131BB7"/>
    <w:rsid w:val="7C1826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pPr>
      <w:widowControl w:val="0"/>
      <w:spacing w:before="0" w:beforeAutospacing="1" w:after="0" w:afterAutospacing="1"/>
      <w:ind w:left="0" w:right="0"/>
      <w:jc w:val="left"/>
    </w:pPr>
    <w:rPr>
      <w:rFonts w:asciiTheme="minorHAnsi" w:eastAsiaTheme="minorEastAsia" w:hAnsiTheme="minorHAnsi" w:cstheme="minorBidi"/>
      <w:kern w:val="0"/>
      <w:sz w:val="24"/>
      <w:szCs w:val="24"/>
      <w:lang w:val="en-US" w:eastAsia="zh-CN" w:bidi="ar"/>
    </w:rPr>
  </w:style>
  <w:style w:type="character" w:styleId="Strong">
    <w:name w:val="Strong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初展</dc:creator>
  <cp:lastModifiedBy>初展</cp:lastModifiedBy>
  <cp:revision>1</cp:revision>
  <dcterms:created xsi:type="dcterms:W3CDTF">2026-10-30T02:46:00Z</dcterms:created>
  <dcterms:modified xsi:type="dcterms:W3CDTF">2026-10-30T03:02:20Z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B746D90626884D46A064D0B3073CDB74_11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eyJoZGlkIjoiNDU3ZTI2MjBkNTEzNzY1OTdkZmY3ZjYxMTdjMWUxNDIiLCJ1c2VySWQiOiI1ODIxNTk5MDgifQ==</vt:lpwstr>
  </property>
</Properties>
</file>