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1F21C3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（二）研究的目的和解决的问题</w:t>
      </w:r>
    </w:p>
    <w:p w14:paraId="288C8CF2">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1.研究目的</w:t>
      </w:r>
    </w:p>
    <w:p w14:paraId="0D0B6DC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教师数字素养与教师胜任力的提升是国家教育数字化战略行动的要求，有利于培育数字化卓越教师、增强教育数字化转型的核心软实力，给建设高质量教育体系、培养高素质人才提供保障。但是高中教师处于升学和转型的交叉点上，存在着不同的教学素养水平，缺少对现状的摸底，缺少提高教学素养的途径。本文以华阴市华山中学教师为研究对象，采用问卷调查法、访谈法、课堂观察法等手段对教师数字素养现状及影响因素进行调查，分析制约</w:t>
      </w:r>
      <w:r>
        <w:rPr>
          <w:rFonts w:ascii="宋体" w:eastAsia="宋体" w:hAnsi="宋体" w:cs="宋体" w:hint="eastAsia"/>
          <w:sz w:val="21"/>
          <w:szCs w:val="21"/>
          <w:lang w:val="en-US" w:eastAsia="zh-CN"/>
        </w:rPr>
        <w:t>教师数字素养</w:t>
      </w:r>
      <w:r>
        <w:rPr>
          <w:rFonts w:ascii="宋体" w:eastAsia="宋体" w:hAnsi="宋体" w:cs="宋体" w:hint="eastAsia"/>
          <w:sz w:val="21"/>
          <w:szCs w:val="21"/>
        </w:rPr>
        <w:t>提升的培训、管理、技术等各方面的因素，并在此基础上提出分层落地的策略，构建起常态化的培养体系。</w:t>
      </w:r>
    </w:p>
    <w:p w14:paraId="49B6C71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2.拟解决的问题</w:t>
      </w:r>
    </w:p>
    <w:p w14:paraId="26566F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1</w:t>
      </w:r>
      <w:r>
        <w:rPr>
          <w:rFonts w:ascii="宋体" w:eastAsia="宋体" w:hAnsi="宋体" w:cs="宋体" w:hint="eastAsia"/>
          <w:sz w:val="21"/>
          <w:szCs w:val="21"/>
          <w:lang w:eastAsia="zh-CN"/>
        </w:rPr>
        <w:t>）</w:t>
      </w:r>
      <w:r>
        <w:rPr>
          <w:rFonts w:ascii="宋体" w:eastAsia="宋体" w:hAnsi="宋体" w:cs="宋体" w:hint="eastAsia"/>
          <w:sz w:val="21"/>
          <w:szCs w:val="21"/>
        </w:rPr>
        <w:t>找出目前底数不清、群体差异不明的现象。系统调查掌握教师数字工具使用情况、资源开发情况以及数据学情分析情况，找到教师薄弱环节，为策略的制定提供支撑。</w:t>
      </w:r>
    </w:p>
    <w:p w14:paraId="43ED6DE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2</w:t>
      </w:r>
      <w:r>
        <w:rPr>
          <w:rFonts w:ascii="宋体" w:eastAsia="宋体" w:hAnsi="宋体" w:cs="宋体" w:hint="eastAsia"/>
          <w:sz w:val="21"/>
          <w:szCs w:val="21"/>
          <w:lang w:eastAsia="zh-CN"/>
        </w:rPr>
        <w:t>）</w:t>
      </w:r>
      <w:r>
        <w:rPr>
          <w:rFonts w:ascii="宋体" w:eastAsia="宋体" w:hAnsi="宋体" w:cs="宋体" w:hint="eastAsia"/>
          <w:sz w:val="21"/>
          <w:szCs w:val="21"/>
        </w:rPr>
        <w:t>解决由于缺少识别制约因素而造成归因片面的问题。理清培训供给不足、管理缺位、技术环境薄弱等外界因素同教师个体意愿、时间投入等个人因素互相影响、互相作用的关系。</w:t>
      </w:r>
    </w:p>
    <w:p w14:paraId="48AEA5E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firstLine="420" w:firstLineChars="200"/>
        <w:textAlignment w:val="auto"/>
        <w:rPr>
          <w:rFonts w:ascii="宋体" w:eastAsia="宋体" w:hAnsi="宋体" w:cs="宋体" w:hint="eastAsia"/>
          <w:sz w:val="21"/>
          <w:szCs w:val="21"/>
        </w:rPr>
      </w:pPr>
      <w:r>
        <w:rPr>
          <w:rFonts w:ascii="宋体" w:eastAsia="宋体" w:hAnsi="宋体" w:cs="宋体" w:hint="eastAsia"/>
          <w:sz w:val="21"/>
          <w:szCs w:val="21"/>
          <w:lang w:eastAsia="zh-CN"/>
        </w:rPr>
        <w:t>（</w:t>
      </w:r>
      <w:r>
        <w:rPr>
          <w:rFonts w:ascii="宋体" w:eastAsia="宋体" w:hAnsi="宋体" w:cs="宋体" w:hint="eastAsia"/>
          <w:sz w:val="21"/>
          <w:szCs w:val="21"/>
          <w:lang w:val="en-US" w:eastAsia="zh-CN"/>
        </w:rPr>
        <w:t>3</w:t>
      </w:r>
      <w:r>
        <w:rPr>
          <w:rFonts w:ascii="宋体" w:eastAsia="宋体" w:hAnsi="宋体" w:cs="宋体" w:hint="eastAsia"/>
          <w:sz w:val="21"/>
          <w:szCs w:val="21"/>
          <w:lang w:eastAsia="zh-CN"/>
        </w:rPr>
        <w:t>）</w:t>
      </w:r>
      <w:r>
        <w:rPr>
          <w:rFonts w:ascii="宋体" w:eastAsia="宋体" w:hAnsi="宋体" w:cs="宋体" w:hint="eastAsia"/>
          <w:sz w:val="21"/>
          <w:szCs w:val="21"/>
        </w:rPr>
        <w:t>解决提升策略零散、无法落地的问题。设计分层分类的切实可行提升方案，创建与学校实际相适应的常态化培育体系，防止培训形式化、无人监督的状况发生。</w:t>
      </w:r>
    </w:p>
    <w:p w14:paraId="6EAAC14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（三）研究的内容</w:t>
      </w:r>
    </w:p>
    <w:p w14:paraId="71B35C0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本课题按“提出问题-分析问题-解决问题-总结归纳”的步骤进行，主要研究内容有如下几点。</w:t>
      </w:r>
    </w:p>
    <w:p w14:paraId="1EB2178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lang w:eastAsia="zh-CN"/>
        </w:rPr>
      </w:pPr>
      <w:r>
        <w:rPr>
          <w:rStyle w:val="Strong"/>
          <w:rFonts w:ascii="宋体" w:eastAsia="宋体" w:hAnsi="宋体" w:cs="宋体" w:hint="eastAsia"/>
          <w:kern w:val="2"/>
          <w:sz w:val="21"/>
          <w:szCs w:val="21"/>
          <w:lang w:bidi="ar-SA"/>
        </w:rPr>
        <w:t>1.现状摸底——数字素养水平</w:t>
      </w:r>
      <w:r>
        <w:rPr>
          <w:rStyle w:val="Strong"/>
          <w:rFonts w:ascii="宋体" w:eastAsia="宋体" w:hAnsi="宋体" w:cs="宋体" w:hint="eastAsia"/>
          <w:kern w:val="2"/>
          <w:sz w:val="21"/>
          <w:szCs w:val="21"/>
          <w:lang w:val="en-US" w:eastAsia="zh-CN" w:bidi="ar-SA"/>
        </w:rPr>
        <w:t>调查</w:t>
      </w:r>
    </w:p>
    <w:p w14:paraId="3919684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对华阴市华山中学所有教师进行问卷调查，问卷包括数字意识、数字工具操作、数字资源开发、数字化教学实施、数据学情分析五个方面，并且在课堂观察的基础上增加了访谈。根据不同的年龄、学科教师得分的差别编制教师数字素养</w:t>
      </w:r>
      <w:r>
        <w:rPr>
          <w:rFonts w:ascii="宋体" w:eastAsia="宋体" w:hAnsi="宋体" w:cs="宋体" w:hint="eastAsia"/>
          <w:sz w:val="21"/>
          <w:szCs w:val="21"/>
          <w:lang w:val="en-US" w:eastAsia="zh-CN"/>
        </w:rPr>
        <w:t>调查报告</w:t>
      </w:r>
      <w:r>
        <w:rPr>
          <w:rFonts w:ascii="宋体" w:eastAsia="宋体" w:hAnsi="宋体" w:cs="宋体" w:hint="eastAsia"/>
          <w:sz w:val="21"/>
          <w:szCs w:val="21"/>
        </w:rPr>
        <w:t>。</w:t>
      </w:r>
    </w:p>
    <w:p w14:paraId="1AD2DB4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2.差异归因——素养差距及制约因素分析</w:t>
      </w:r>
    </w:p>
    <w:p w14:paraId="583B9A0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从个体、学校、制度环境三个层面做原因分析。探究教师学习意愿、信息化培训供给、硬件设施完备度、校本教研机制、考核激励政策等各方面的因素对于数字素养的提升所起的作用。将阻碍性因素和支撑性因素区分开来，给靶向施策提供实证依据。</w:t>
      </w:r>
    </w:p>
    <w:p w14:paraId="09255B1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3.分层施策——差异化提升路径构建</w:t>
      </w:r>
    </w:p>
    <w:p w14:paraId="75887517">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根据调研得出的素养分层结果，对新手教师、骨干教师、老年教师分别制定不同的培养方案。融合线上自主研修、校本实操工坊、名师结对指导等手段，以课堂数字化转型为核心，突出数字资源加工、智慧课堂实施、学情数据挖掘等操作能力的培养，根据不同的教师群体制定发展路径。</w:t>
      </w:r>
    </w:p>
    <w:p w14:paraId="54A6E3A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4.机制护航——长效保障体系搭建</w:t>
      </w:r>
    </w:p>
    <w:p w14:paraId="1B3A9FD4">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为了防止素养提高只是一阵风的活动，课题组创建了长效机制。主要就是创建校本数字素养培训制度、建立常态化的研修制度，创建学校共享的数字教学资源库，减轻教师开发的压力，制定过程性评价办法，将数字应用作为教师考核、评优的标准，改善设备的配置和技术运维，保证教师使用。制度、资源、评价、技术四者共同推进的育人过程，是常态化的育人。</w:t>
      </w:r>
    </w:p>
    <w:p w14:paraId="765EC31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（四）研究的创新点</w:t>
      </w:r>
    </w:p>
    <w:p w14:paraId="4DE2F50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1.研究视角创新</w:t>
      </w:r>
    </w:p>
    <w:p w14:paraId="0D5938F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本课题打破“只谈技能、不谈素养”的旧思维，在升学压力和教学改革的大背景之下，从“能力、需求、环境”三者结合的角度来对教师数字素养进行研究。研究者认为数字素养不是单个的操作技能，而应该将数字素养同学科教学、学情分析、作业讲评等过程结合起来考虑教师面对各种真实场景时所做出的反应。从整体的角度可以发现素养缺陷背后的原因，使提升措施更能适应高中教学。</w:t>
      </w:r>
    </w:p>
    <w:p w14:paraId="22FF649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2.提升策略创新</w:t>
      </w:r>
    </w:p>
    <w:p w14:paraId="7414E41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lang w:val="en-US" w:eastAsia="zh-CN"/>
        </w:rPr>
        <w:t>以教学</w:t>
      </w:r>
      <w:r>
        <w:rPr>
          <w:rFonts w:ascii="宋体" w:eastAsia="宋体" w:hAnsi="宋体" w:cs="宋体" w:hint="eastAsia"/>
          <w:sz w:val="21"/>
          <w:szCs w:val="21"/>
        </w:rPr>
        <w:t>需求为向导，以实践应用为动力，形成一个“诊断、研修、实践、反思、迭代”的闭环。运用数字素养测评准确找到教师的不足，分层设计数字素养教学设计、用数据指导教学，人工智能辅助教学等研修模块，采取工作坊、案例研讨、同伴互助等方式使教师在真实的课堂上把应用转化为实际能力，创建数字成长档案保存应用的轨迹与反思成果，发挥骨干教师的示范引领作用，成立数字教学创新团队促进经验交流。最后得到一个完整的“测、研、用、思、创”五位一体的模式，测评精准化、研修分层化、场景化应用、反思常态化、协同创新化，使教师数字素养由工具应用向融合创新逐步提升。</w:t>
      </w:r>
    </w:p>
    <w:p w14:paraId="6BFD24E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3.技术应用创新</w:t>
      </w:r>
    </w:p>
    <w:p w14:paraId="3AC4AC1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Fonts w:ascii="宋体" w:eastAsia="宋体" w:hAnsi="宋体" w:cs="宋体" w:hint="eastAsia"/>
          <w:sz w:val="21"/>
          <w:szCs w:val="21"/>
        </w:rPr>
        <w:t>课题把数字工具由辅助变成研究工具，用在线问卷平台、数据统计软件、课堂录播系统做调查和检验工作，把教师的操作行为变成可以量化的、可以追踪的数据。研究小组也利用人工智能等辅助手段使教师能够生成备课资源、分析学生数据，用实际使用来促进教师素养的提高，并且以用促研、以研带用的方式，使技术真正为教师专业发展服务，使研究具有时代感和可操作性。</w:t>
      </w:r>
    </w:p>
    <w:p w14:paraId="10F9F6C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r>
        <w:rPr>
          <w:rStyle w:val="Strong"/>
          <w:rFonts w:ascii="宋体" w:eastAsia="宋体" w:hAnsi="宋体" w:cs="宋体" w:hint="eastAsia"/>
          <w:kern w:val="2"/>
          <w:sz w:val="21"/>
          <w:szCs w:val="21"/>
          <w:lang w:bidi="ar-SA"/>
        </w:rPr>
        <w:t>（五）研究进度及时间安排</w:t>
      </w:r>
    </w:p>
    <w:tbl>
      <w:tblPr>
        <w:tblStyle w:val="TableNormal"/>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shd w:val="clear" w:color="auto" w:fill="auto"/>
        <w:tblCellMar>
          <w:top w:w="15" w:type="dxa"/>
          <w:left w:w="15" w:type="dxa"/>
          <w:bottom w:w="15" w:type="dxa"/>
          <w:right w:w="15" w:type="dxa"/>
        </w:tblCellMar>
      </w:tblPr>
      <w:tblGrid>
        <w:gridCol w:w="1920"/>
        <w:gridCol w:w="3398"/>
        <w:gridCol w:w="3204"/>
      </w:tblGrid>
      <w:tr w14:paraId="02F94A14">
        <w:tblPrEx>
          <w:tblW w:w="8522"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shd w:val="clear" w:color="auto" w:fill="auto"/>
          <w:tblCellMar>
            <w:top w:w="15" w:type="dxa"/>
            <w:left w:w="15" w:type="dxa"/>
            <w:bottom w:w="15" w:type="dxa"/>
            <w:right w:w="15" w:type="dxa"/>
          </w:tblCellMar>
        </w:tblPrEx>
        <w:trPr>
          <w:trHeight w:hRule="auto" w:val="0"/>
          <w:tblHeader/>
          <w:jc w:val="center"/>
        </w:trPr>
        <w:tc>
          <w:tcPr>
            <w:tcW w:w="1919" w:type="dxa"/>
            <w:tcBorders>
              <w:top w:val="single" w:sz="12" w:space="0" w:color="auto"/>
              <w:left w:val="nil"/>
              <w:bottom w:val="nil"/>
              <w:right w:val="nil"/>
            </w:tcBorders>
            <w:shd w:val="clear" w:color="auto" w:fill="auto"/>
            <w:noWrap w:val="0"/>
            <w:tcMar>
              <w:top w:w="120" w:type="dxa"/>
              <w:left w:w="120" w:type="dxa"/>
              <w:bottom w:w="120" w:type="dxa"/>
              <w:right w:w="120" w:type="dxa"/>
            </w:tcMar>
            <w:vAlign w:val="center"/>
          </w:tcPr>
          <w:p w14:paraId="5E5A22D7">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b/>
                <w:bCs/>
                <w:sz w:val="21"/>
                <w:szCs w:val="21"/>
              </w:rPr>
            </w:pPr>
            <w:r>
              <w:rPr>
                <w:rFonts w:ascii="宋体" w:eastAsia="宋体" w:hAnsi="宋体" w:cs="宋体" w:hint="eastAsia"/>
                <w:b/>
                <w:bCs/>
                <w:kern w:val="0"/>
                <w:sz w:val="21"/>
                <w:szCs w:val="21"/>
                <w:lang w:val="en-US" w:eastAsia="zh-CN" w:bidi="ar"/>
              </w:rPr>
              <w:t>研究时间</w:t>
            </w:r>
          </w:p>
        </w:tc>
        <w:tc>
          <w:tcPr>
            <w:tcW w:w="3399" w:type="dxa"/>
            <w:tcBorders>
              <w:top w:val="single" w:sz="12" w:space="0" w:color="auto"/>
              <w:left w:val="nil"/>
              <w:bottom w:val="nil"/>
              <w:right w:val="nil"/>
            </w:tcBorders>
            <w:shd w:val="clear" w:color="auto" w:fill="auto"/>
            <w:noWrap w:val="0"/>
            <w:tcMar>
              <w:top w:w="120" w:type="dxa"/>
              <w:left w:w="120" w:type="dxa"/>
              <w:bottom w:w="120" w:type="dxa"/>
              <w:right w:w="120" w:type="dxa"/>
            </w:tcMar>
            <w:vAlign w:val="center"/>
          </w:tcPr>
          <w:p w14:paraId="4CEA31A2">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b/>
                <w:bCs/>
                <w:sz w:val="21"/>
                <w:szCs w:val="21"/>
              </w:rPr>
            </w:pPr>
            <w:r>
              <w:rPr>
                <w:rFonts w:ascii="宋体" w:eastAsia="宋体" w:hAnsi="宋体" w:cs="宋体" w:hint="eastAsia"/>
                <w:b/>
                <w:bCs/>
                <w:kern w:val="0"/>
                <w:sz w:val="21"/>
                <w:szCs w:val="21"/>
                <w:lang w:val="en-US" w:eastAsia="zh-CN" w:bidi="ar"/>
              </w:rPr>
              <w:t>实施内容</w:t>
            </w:r>
          </w:p>
        </w:tc>
        <w:tc>
          <w:tcPr>
            <w:tcW w:w="3204" w:type="dxa"/>
            <w:tcBorders>
              <w:top w:val="single" w:sz="12" w:space="0" w:color="auto"/>
              <w:left w:val="nil"/>
              <w:bottom w:val="nil"/>
              <w:right w:val="nil"/>
            </w:tcBorders>
            <w:shd w:val="clear" w:color="auto" w:fill="auto"/>
            <w:noWrap w:val="0"/>
            <w:tcMar>
              <w:top w:w="120" w:type="dxa"/>
              <w:left w:w="120" w:type="dxa"/>
              <w:bottom w:w="120" w:type="dxa"/>
              <w:right w:w="120" w:type="dxa"/>
            </w:tcMar>
            <w:vAlign w:val="center"/>
          </w:tcPr>
          <w:p w14:paraId="18D8A960">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b/>
                <w:bCs/>
                <w:sz w:val="21"/>
                <w:szCs w:val="21"/>
              </w:rPr>
            </w:pPr>
            <w:r>
              <w:rPr>
                <w:rFonts w:ascii="宋体" w:eastAsia="宋体" w:hAnsi="宋体" w:cs="宋体" w:hint="eastAsia"/>
                <w:b/>
                <w:bCs/>
                <w:kern w:val="0"/>
                <w:sz w:val="21"/>
                <w:szCs w:val="21"/>
                <w:lang w:val="en-US" w:eastAsia="zh-CN" w:bidi="ar"/>
              </w:rPr>
              <w:t>研究分工</w:t>
            </w:r>
          </w:p>
        </w:tc>
      </w:tr>
      <w:tr w14:paraId="14CD50A3">
        <w:tblPrEx>
          <w:tblW w:w="8522" w:type="dxa"/>
          <w:jc w:val="center"/>
          <w:shd w:val="clear" w:color="auto" w:fill="auto"/>
          <w:tblCellMar>
            <w:top w:w="15" w:type="dxa"/>
            <w:left w:w="15" w:type="dxa"/>
            <w:bottom w:w="15" w:type="dxa"/>
            <w:right w:w="15" w:type="dxa"/>
          </w:tblCellMar>
        </w:tblPrEx>
        <w:trPr>
          <w:trHeight w:hRule="auto" w:val="0"/>
          <w:jc w:val="center"/>
        </w:trPr>
        <w:tc>
          <w:tcPr>
            <w:tcW w:w="1919" w:type="dxa"/>
            <w:tcBorders>
              <w:top w:val="single" w:sz="4" w:space="0" w:color="auto"/>
              <w:left w:val="nil"/>
              <w:bottom w:val="nil"/>
              <w:right w:val="nil"/>
            </w:tcBorders>
            <w:shd w:val="clear" w:color="auto" w:fill="auto"/>
            <w:noWrap w:val="0"/>
            <w:tcMar>
              <w:top w:w="120" w:type="dxa"/>
              <w:left w:w="120" w:type="dxa"/>
              <w:bottom w:w="120" w:type="dxa"/>
              <w:right w:w="120" w:type="dxa"/>
            </w:tcMar>
            <w:vAlign w:val="center"/>
          </w:tcPr>
          <w:p w14:paraId="2F3701CA">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kern w:val="0"/>
                <w:sz w:val="21"/>
                <w:szCs w:val="21"/>
                <w:lang w:val="en-US" w:eastAsia="zh-CN" w:bidi="ar"/>
              </w:rPr>
            </w:pPr>
            <w:r>
              <w:rPr>
                <w:rFonts w:ascii="宋体" w:eastAsia="宋体" w:hAnsi="宋体" w:cs="宋体" w:hint="eastAsia"/>
                <w:kern w:val="0"/>
                <w:sz w:val="21"/>
                <w:szCs w:val="21"/>
                <w:lang w:val="en-US" w:eastAsia="zh-CN" w:bidi="ar"/>
              </w:rPr>
              <w:t>2026.11—2027.02</w:t>
            </w:r>
          </w:p>
          <w:p w14:paraId="60DF2CD3">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kern w:val="0"/>
                <w:sz w:val="21"/>
                <w:szCs w:val="21"/>
                <w:lang w:val="en-US" w:eastAsia="zh-CN" w:bidi="ar"/>
              </w:rPr>
            </w:pPr>
            <w:r>
              <w:rPr>
                <w:rFonts w:ascii="宋体" w:eastAsia="宋体" w:hAnsi="宋体" w:cs="宋体" w:hint="eastAsia"/>
                <w:kern w:val="0"/>
                <w:sz w:val="21"/>
                <w:szCs w:val="21"/>
                <w:lang w:val="en-US" w:eastAsia="zh-CN" w:bidi="ar"/>
              </w:rPr>
              <w:t>（</w:t>
            </w:r>
            <w:r>
              <w:rPr>
                <w:rFonts w:ascii="宋体" w:eastAsia="宋体" w:hAnsi="宋体" w:cs="宋体" w:hint="eastAsia"/>
                <w:kern w:val="0"/>
                <w:sz w:val="21"/>
                <w:szCs w:val="21"/>
                <w:lang w:val="en-US" w:eastAsia="zh-CN" w:bidi="ar"/>
              </w:rPr>
              <w:t>准备与调查</w:t>
            </w:r>
            <w:r>
              <w:rPr>
                <w:rFonts w:ascii="宋体" w:eastAsia="宋体" w:hAnsi="宋体" w:cs="宋体" w:hint="eastAsia"/>
                <w:kern w:val="0"/>
                <w:sz w:val="21"/>
                <w:szCs w:val="21"/>
                <w:lang w:val="en-US" w:eastAsia="zh-CN" w:bidi="ar"/>
              </w:rPr>
              <w:t>）</w:t>
            </w:r>
          </w:p>
        </w:tc>
        <w:tc>
          <w:tcPr>
            <w:tcW w:w="3399" w:type="dxa"/>
            <w:tcBorders>
              <w:top w:val="single" w:sz="4" w:space="0" w:color="auto"/>
              <w:left w:val="nil"/>
              <w:bottom w:val="nil"/>
              <w:right w:val="nil"/>
            </w:tcBorders>
            <w:shd w:val="clear" w:color="auto" w:fill="auto"/>
            <w:noWrap w:val="0"/>
            <w:tcMar>
              <w:top w:w="120" w:type="dxa"/>
              <w:left w:w="120" w:type="dxa"/>
              <w:bottom w:w="120" w:type="dxa"/>
              <w:right w:w="120" w:type="dxa"/>
            </w:tcMar>
            <w:vAlign w:val="center"/>
          </w:tcPr>
          <w:p w14:paraId="31C1BA27">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left"/>
              <w:textAlignment w:val="auto"/>
              <w:rPr>
                <w:rFonts w:ascii="宋体" w:eastAsia="宋体" w:hAnsi="宋体" w:cs="宋体" w:hint="eastAsia"/>
                <w:sz w:val="21"/>
                <w:szCs w:val="21"/>
              </w:rPr>
            </w:pPr>
            <w:r>
              <w:rPr>
                <w:rFonts w:ascii="宋体" w:eastAsia="宋体" w:hAnsi="宋体" w:cs="宋体" w:hint="eastAsia"/>
                <w:kern w:val="0"/>
                <w:sz w:val="21"/>
                <w:szCs w:val="21"/>
                <w:lang w:val="en-US" w:eastAsia="zh-CN" w:bidi="ar"/>
              </w:rPr>
              <w:t>制定研究方案，设计数字素养调查问卷及访谈提纲，对问卷进行预试修订；对全校教师进行问卷、课堂观察、访谈，获得基础数据</w:t>
            </w:r>
          </w:p>
        </w:tc>
        <w:tc>
          <w:tcPr>
            <w:tcW w:w="3204" w:type="dxa"/>
            <w:tcBorders>
              <w:top w:val="single" w:sz="4" w:space="0" w:color="auto"/>
              <w:left w:val="nil"/>
              <w:bottom w:val="nil"/>
              <w:right w:val="nil"/>
            </w:tcBorders>
            <w:shd w:val="clear" w:color="auto" w:fill="auto"/>
            <w:noWrap w:val="0"/>
            <w:tcMar>
              <w:top w:w="120" w:type="dxa"/>
              <w:left w:w="120" w:type="dxa"/>
              <w:bottom w:w="120" w:type="dxa"/>
              <w:right w:w="120" w:type="dxa"/>
            </w:tcMar>
            <w:vAlign w:val="center"/>
          </w:tcPr>
          <w:p w14:paraId="59105E4D">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left"/>
              <w:textAlignment w:val="auto"/>
              <w:rPr>
                <w:rFonts w:ascii="宋体" w:eastAsia="宋体" w:hAnsi="宋体" w:cs="宋体" w:hint="eastAsia"/>
                <w:sz w:val="21"/>
                <w:szCs w:val="21"/>
              </w:rPr>
            </w:pPr>
            <w:r>
              <w:rPr>
                <w:rFonts w:ascii="宋体" w:eastAsia="宋体" w:hAnsi="宋体" w:cs="宋体" w:hint="eastAsia"/>
                <w:kern w:val="0"/>
                <w:sz w:val="21"/>
                <w:szCs w:val="21"/>
                <w:lang w:val="en-US" w:eastAsia="zh-CN" w:bidi="ar"/>
              </w:rPr>
              <w:t>张红丽统筹方案设计；姬春良编制问卷、组织数据采集；丁一安排课堂观察与访谈；荆海山整理问卷数据</w:t>
            </w:r>
          </w:p>
        </w:tc>
      </w:tr>
      <w:tr w14:paraId="625E6AAD">
        <w:tblPrEx>
          <w:tblW w:w="8522" w:type="dxa"/>
          <w:jc w:val="center"/>
          <w:shd w:val="clear" w:color="auto" w:fill="auto"/>
          <w:tblCellMar>
            <w:top w:w="15" w:type="dxa"/>
            <w:left w:w="15" w:type="dxa"/>
            <w:bottom w:w="15" w:type="dxa"/>
            <w:right w:w="15" w:type="dxa"/>
          </w:tblCellMar>
        </w:tblPrEx>
        <w:trPr>
          <w:trHeight w:hRule="auto" w:val="0"/>
          <w:jc w:val="center"/>
        </w:trPr>
        <w:tc>
          <w:tcPr>
            <w:tcW w:w="1919" w:type="dxa"/>
            <w:tcBorders>
              <w:top w:val="nil"/>
              <w:left w:val="nil"/>
              <w:bottom w:val="nil"/>
              <w:right w:val="nil"/>
            </w:tcBorders>
            <w:shd w:val="clear" w:color="auto" w:fill="auto"/>
            <w:noWrap w:val="0"/>
            <w:tcMar>
              <w:top w:w="120" w:type="dxa"/>
              <w:left w:w="120" w:type="dxa"/>
              <w:bottom w:w="120" w:type="dxa"/>
              <w:right w:w="120" w:type="dxa"/>
            </w:tcMar>
            <w:vAlign w:val="center"/>
          </w:tcPr>
          <w:p w14:paraId="32BC508A">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kern w:val="0"/>
                <w:sz w:val="21"/>
                <w:szCs w:val="21"/>
                <w:lang w:val="en-US" w:eastAsia="zh-CN" w:bidi="ar"/>
              </w:rPr>
            </w:pPr>
            <w:r>
              <w:rPr>
                <w:rFonts w:ascii="宋体" w:eastAsia="宋体" w:hAnsi="宋体" w:cs="宋体" w:hint="eastAsia"/>
                <w:kern w:val="0"/>
                <w:sz w:val="21"/>
                <w:szCs w:val="21"/>
                <w:lang w:val="en-US" w:eastAsia="zh-CN" w:bidi="ar"/>
              </w:rPr>
              <w:t>2027.03—2027.07</w:t>
            </w:r>
          </w:p>
          <w:p w14:paraId="077A2C36">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kern w:val="0"/>
                <w:sz w:val="21"/>
                <w:szCs w:val="21"/>
                <w:lang w:val="en-US" w:eastAsia="zh-CN" w:bidi="ar"/>
              </w:rPr>
            </w:pPr>
            <w:r>
              <w:rPr>
                <w:rFonts w:ascii="宋体" w:eastAsia="宋体" w:hAnsi="宋体" w:cs="宋体" w:hint="eastAsia"/>
                <w:kern w:val="0"/>
                <w:sz w:val="21"/>
                <w:szCs w:val="21"/>
                <w:lang w:val="en-US" w:eastAsia="zh-CN" w:bidi="ar"/>
              </w:rPr>
              <w:t>（</w:t>
            </w:r>
            <w:r>
              <w:rPr>
                <w:rFonts w:ascii="宋体" w:eastAsia="宋体" w:hAnsi="宋体" w:cs="宋体" w:hint="eastAsia"/>
                <w:kern w:val="0"/>
                <w:sz w:val="21"/>
                <w:szCs w:val="21"/>
                <w:lang w:val="en-US" w:eastAsia="zh-CN" w:bidi="ar"/>
              </w:rPr>
              <w:t>分析与实施</w:t>
            </w:r>
            <w:r>
              <w:rPr>
                <w:rFonts w:ascii="宋体" w:eastAsia="宋体" w:hAnsi="宋体" w:cs="宋体" w:hint="eastAsia"/>
                <w:kern w:val="0"/>
                <w:sz w:val="21"/>
                <w:szCs w:val="21"/>
                <w:lang w:val="en-US" w:eastAsia="zh-CN" w:bidi="ar"/>
              </w:rPr>
              <w:t>）</w:t>
            </w:r>
          </w:p>
        </w:tc>
        <w:tc>
          <w:tcPr>
            <w:tcW w:w="3399" w:type="dxa"/>
            <w:tcBorders>
              <w:top w:val="nil"/>
              <w:left w:val="nil"/>
              <w:bottom w:val="nil"/>
              <w:right w:val="nil"/>
            </w:tcBorders>
            <w:shd w:val="clear" w:color="auto" w:fill="auto"/>
            <w:noWrap w:val="0"/>
            <w:tcMar>
              <w:top w:w="120" w:type="dxa"/>
              <w:left w:w="120" w:type="dxa"/>
              <w:bottom w:w="120" w:type="dxa"/>
              <w:right w:w="120" w:type="dxa"/>
            </w:tcMar>
            <w:vAlign w:val="center"/>
          </w:tcPr>
          <w:p w14:paraId="19FB4A49">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left"/>
              <w:textAlignment w:val="auto"/>
              <w:rPr>
                <w:rFonts w:ascii="宋体" w:eastAsia="宋体" w:hAnsi="宋体" w:cs="宋体" w:hint="eastAsia"/>
                <w:sz w:val="21"/>
                <w:szCs w:val="21"/>
              </w:rPr>
            </w:pPr>
            <w:r>
              <w:rPr>
                <w:rFonts w:ascii="宋体" w:eastAsia="宋体" w:hAnsi="宋体" w:cs="宋体" w:hint="eastAsia"/>
                <w:kern w:val="0"/>
                <w:sz w:val="21"/>
                <w:szCs w:val="21"/>
                <w:lang w:val="en-US" w:eastAsia="zh-CN" w:bidi="ar"/>
              </w:rPr>
              <w:t>整理素养差异及制约因素，形成现状及原因分析报告，建立分层分类提升策略，开展校本培训与实操工坊，搭建共享数字资源库</w:t>
            </w:r>
          </w:p>
        </w:tc>
        <w:tc>
          <w:tcPr>
            <w:tcW w:w="3204" w:type="dxa"/>
            <w:tcBorders>
              <w:top w:val="nil"/>
              <w:left w:val="nil"/>
              <w:bottom w:val="nil"/>
              <w:right w:val="nil"/>
            </w:tcBorders>
            <w:shd w:val="clear" w:color="auto" w:fill="auto"/>
            <w:noWrap w:val="0"/>
            <w:tcMar>
              <w:top w:w="120" w:type="dxa"/>
              <w:left w:w="120" w:type="dxa"/>
              <w:bottom w:w="120" w:type="dxa"/>
              <w:right w:w="120" w:type="dxa"/>
            </w:tcMar>
            <w:vAlign w:val="center"/>
          </w:tcPr>
          <w:p w14:paraId="7BDB9E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left"/>
              <w:textAlignment w:val="auto"/>
              <w:rPr>
                <w:rFonts w:ascii="宋体" w:eastAsia="宋体" w:hAnsi="宋体" w:cs="宋体" w:hint="eastAsia"/>
                <w:sz w:val="21"/>
                <w:szCs w:val="21"/>
              </w:rPr>
            </w:pPr>
            <w:r>
              <w:rPr>
                <w:rFonts w:ascii="宋体" w:eastAsia="宋体" w:hAnsi="宋体" w:cs="宋体" w:hint="eastAsia"/>
                <w:kern w:val="0"/>
                <w:sz w:val="21"/>
                <w:szCs w:val="21"/>
                <w:lang w:val="en-US" w:eastAsia="zh-CN" w:bidi="ar"/>
              </w:rPr>
              <w:t>张红丽设计分析框架与提出策略；姬春良进行数据统计以及技术支持；丁一安排培训活动和课堂观察；荆海山建立资源库并做好实施过程的记录。</w:t>
            </w:r>
          </w:p>
        </w:tc>
      </w:tr>
      <w:tr w14:paraId="5E56D6EE">
        <w:tblPrEx>
          <w:tblW w:w="8522" w:type="dxa"/>
          <w:jc w:val="center"/>
          <w:shd w:val="clear" w:color="auto" w:fill="auto"/>
          <w:tblCellMar>
            <w:top w:w="15" w:type="dxa"/>
            <w:left w:w="15" w:type="dxa"/>
            <w:bottom w:w="15" w:type="dxa"/>
            <w:right w:w="15" w:type="dxa"/>
          </w:tblCellMar>
        </w:tblPrEx>
        <w:trPr>
          <w:trHeight w:hRule="auto" w:val="0"/>
          <w:jc w:val="center"/>
        </w:trPr>
        <w:tc>
          <w:tcPr>
            <w:tcW w:w="1919" w:type="dxa"/>
            <w:tcBorders>
              <w:top w:val="nil"/>
              <w:left w:val="nil"/>
              <w:bottom w:val="single" w:sz="12" w:space="0" w:color="auto"/>
              <w:right w:val="nil"/>
            </w:tcBorders>
            <w:shd w:val="clear" w:color="auto" w:fill="auto"/>
            <w:noWrap w:val="0"/>
            <w:tcMar>
              <w:top w:w="120" w:type="dxa"/>
              <w:left w:w="120" w:type="dxa"/>
              <w:bottom w:w="120" w:type="dxa"/>
              <w:right w:w="120" w:type="dxa"/>
            </w:tcMar>
            <w:vAlign w:val="center"/>
          </w:tcPr>
          <w:p w14:paraId="35D4FAE3">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kern w:val="0"/>
                <w:sz w:val="21"/>
                <w:szCs w:val="21"/>
                <w:lang w:val="en-US" w:eastAsia="zh-CN" w:bidi="ar"/>
              </w:rPr>
            </w:pPr>
            <w:r>
              <w:rPr>
                <w:rFonts w:ascii="宋体" w:eastAsia="宋体" w:hAnsi="宋体" w:cs="宋体" w:hint="eastAsia"/>
                <w:kern w:val="0"/>
                <w:sz w:val="21"/>
                <w:szCs w:val="21"/>
                <w:lang w:val="en-US" w:eastAsia="zh-CN" w:bidi="ar"/>
              </w:rPr>
              <w:t>2027.08—2027.10</w:t>
            </w:r>
          </w:p>
          <w:p w14:paraId="6B13CC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center"/>
              <w:textAlignment w:val="auto"/>
              <w:rPr>
                <w:rFonts w:ascii="宋体" w:eastAsia="宋体" w:hAnsi="宋体" w:cs="宋体" w:hint="eastAsia"/>
                <w:kern w:val="0"/>
                <w:sz w:val="21"/>
                <w:szCs w:val="21"/>
                <w:lang w:val="en-US" w:eastAsia="zh-CN" w:bidi="ar"/>
              </w:rPr>
            </w:pPr>
            <w:r>
              <w:rPr>
                <w:rFonts w:ascii="宋体" w:eastAsia="宋体" w:hAnsi="宋体" w:cs="宋体" w:hint="eastAsia"/>
                <w:kern w:val="0"/>
                <w:sz w:val="21"/>
                <w:szCs w:val="21"/>
                <w:lang w:val="en-US" w:eastAsia="zh-CN" w:bidi="ar"/>
              </w:rPr>
              <w:t>（</w:t>
            </w:r>
            <w:r>
              <w:rPr>
                <w:rFonts w:ascii="宋体" w:eastAsia="宋体" w:hAnsi="宋体" w:cs="宋体" w:hint="eastAsia"/>
                <w:kern w:val="0"/>
                <w:sz w:val="21"/>
                <w:szCs w:val="21"/>
                <w:lang w:val="en-US" w:eastAsia="zh-CN" w:bidi="ar"/>
              </w:rPr>
              <w:t>总结与提升</w:t>
            </w:r>
            <w:r>
              <w:rPr>
                <w:rFonts w:ascii="宋体" w:eastAsia="宋体" w:hAnsi="宋体" w:cs="宋体" w:hint="eastAsia"/>
                <w:kern w:val="0"/>
                <w:sz w:val="21"/>
                <w:szCs w:val="21"/>
                <w:lang w:val="en-US" w:eastAsia="zh-CN" w:bidi="ar"/>
              </w:rPr>
              <w:t>）</w:t>
            </w:r>
          </w:p>
        </w:tc>
        <w:tc>
          <w:tcPr>
            <w:tcW w:w="3399" w:type="dxa"/>
            <w:tcBorders>
              <w:top w:val="nil"/>
              <w:left w:val="nil"/>
              <w:bottom w:val="single" w:sz="12" w:space="0" w:color="auto"/>
              <w:right w:val="nil"/>
            </w:tcBorders>
            <w:shd w:val="clear" w:color="auto" w:fill="auto"/>
            <w:noWrap w:val="0"/>
            <w:tcMar>
              <w:top w:w="120" w:type="dxa"/>
              <w:left w:w="120" w:type="dxa"/>
              <w:bottom w:w="120" w:type="dxa"/>
              <w:right w:w="120" w:type="dxa"/>
            </w:tcMar>
            <w:vAlign w:val="center"/>
          </w:tcPr>
          <w:p w14:paraId="76D07F92">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left"/>
              <w:textAlignment w:val="auto"/>
              <w:rPr>
                <w:rFonts w:ascii="宋体" w:eastAsia="宋体" w:hAnsi="宋体" w:cs="宋体" w:hint="eastAsia"/>
                <w:sz w:val="21"/>
                <w:szCs w:val="21"/>
              </w:rPr>
            </w:pPr>
            <w:r>
              <w:rPr>
                <w:rFonts w:ascii="宋体" w:eastAsia="宋体" w:hAnsi="宋体" w:cs="宋体" w:hint="eastAsia"/>
                <w:kern w:val="0"/>
                <w:sz w:val="21"/>
                <w:szCs w:val="21"/>
                <w:lang w:val="en-US" w:eastAsia="zh-CN" w:bidi="ar"/>
              </w:rPr>
              <w:t>开展二次问卷与课堂观察，评估策略成效；修订完善提升路径与保障机制，撰写研究报告、论文与结题材料</w:t>
            </w:r>
          </w:p>
        </w:tc>
        <w:tc>
          <w:tcPr>
            <w:tcW w:w="3204" w:type="dxa"/>
            <w:tcBorders>
              <w:top w:val="nil"/>
              <w:left w:val="nil"/>
              <w:bottom w:val="single" w:sz="12" w:space="0" w:color="auto"/>
              <w:right w:val="nil"/>
            </w:tcBorders>
            <w:shd w:val="clear" w:color="auto" w:fill="auto"/>
            <w:noWrap w:val="0"/>
            <w:tcMar>
              <w:top w:w="120" w:type="dxa"/>
              <w:left w:w="120" w:type="dxa"/>
              <w:bottom w:w="120" w:type="dxa"/>
              <w:right w:w="120" w:type="dxa"/>
            </w:tcMar>
            <w:vAlign w:val="center"/>
          </w:tcPr>
          <w:p w14:paraId="16F8749F">
            <w:pPr>
              <w:keepNext w:val="0"/>
              <w:keepLines w:val="0"/>
              <w:pageBreakBefore w:val="0"/>
              <w:widowControl/>
              <w:suppressLineNumbers w:val="0"/>
              <w:kinsoku/>
              <w:wordWrap/>
              <w:overflowPunct/>
              <w:topLinePunct w:val="0"/>
              <w:autoSpaceDE/>
              <w:autoSpaceDN/>
              <w:bidi w:val="0"/>
              <w:adjustRightInd/>
              <w:snapToGrid w:val="0"/>
              <w:spacing w:beforeAutospacing="0" w:afterAutospacing="0"/>
              <w:ind w:left="0" w:right="0" w:firstLine="0" w:leftChars="0" w:rightChars="0" w:firstLineChars="0"/>
              <w:jc w:val="left"/>
              <w:textAlignment w:val="auto"/>
              <w:rPr>
                <w:rFonts w:ascii="宋体" w:eastAsia="宋体" w:hAnsi="宋体" w:cs="宋体" w:hint="eastAsia"/>
                <w:sz w:val="21"/>
                <w:szCs w:val="21"/>
              </w:rPr>
            </w:pPr>
            <w:r>
              <w:rPr>
                <w:rFonts w:ascii="宋体" w:eastAsia="宋体" w:hAnsi="宋体" w:cs="宋体" w:hint="eastAsia"/>
                <w:kern w:val="0"/>
                <w:sz w:val="21"/>
                <w:szCs w:val="21"/>
                <w:lang w:val="en-US" w:eastAsia="zh-CN" w:bidi="ar"/>
              </w:rPr>
              <w:t>张红丽主持报告撰写与成果整理；姬春良完成成效数据分析；丁一汇总教师反馈；荆海山整理过程材料</w:t>
            </w:r>
          </w:p>
        </w:tc>
      </w:tr>
    </w:tbl>
    <w:p w14:paraId="7D289F36">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p>
    <w:p w14:paraId="717624FB">
      <w:pPr>
        <w:keepNext w:val="0"/>
        <w:keepLines w:val="0"/>
        <w:pageBreakBefore w:val="0"/>
        <w:kinsoku/>
        <w:wordWrap/>
        <w:overflowPunct/>
        <w:topLinePunct w:val="0"/>
        <w:autoSpaceDE/>
        <w:autoSpaceDN/>
        <w:bidi w:val="0"/>
        <w:adjustRightInd/>
        <w:snapToGrid/>
        <w:spacing w:beforeAutospacing="0" w:afterAutospacing="0"/>
        <w:ind w:left="0" w:firstLine="420" w:firstLineChars="200"/>
        <w:textAlignment w:val="auto"/>
        <w:rPr>
          <w:rFonts w:ascii="宋体" w:eastAsia="宋体" w:hAnsi="宋体" w:cs="宋体" w:hint="eastAsia"/>
          <w:sz w:val="21"/>
          <w:szCs w:val="21"/>
        </w:rPr>
      </w:pPr>
    </w:p>
    <w:p w14:paraId="135877FE">
      <w:bookmarkStart w:id="0" w:name="_GoBack"/>
      <w:bookmarkEnd w:id="0"/>
    </w:p>
    <w:sectPr>
      <w:pgSz w:w="11906" w:h="16838"/>
      <w:pgMar w:top="1440" w:right="1800" w:bottom="1440" w:left="1800" w:header="851" w:footer="992" w:gutter="0"/>
      <w:cols w:num="1" w:space="0"/>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embedSystemFonts/>
  <w:bordersDoNotSurroundHeader/>
  <w:bordersDoNotSurroundFooter/>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F7D4C"/>
    <w:rsid w:val="0FEF7D4C"/>
    <w:rsid w:val="6E131BB7"/>
    <w:rsid w:val="7C1826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pPr>
      <w:widowControl w:val="0"/>
      <w:spacing w:before="0" w:beforeAutospacing="1" w:after="0" w:afterAutospacing="1"/>
      <w:ind w:left="0" w:right="0"/>
      <w:jc w:val="left"/>
    </w:pPr>
    <w:rPr>
      <w:rFonts w:asciiTheme="minorHAnsi" w:eastAsiaTheme="minorEastAsia" w:hAnsiTheme="minorHAnsi" w:cstheme="minorBidi"/>
      <w:kern w:val="0"/>
      <w:sz w:val="24"/>
      <w:szCs w:val="24"/>
      <w:lang w:val="en-US" w:eastAsia="zh-CN" w:bidi="ar"/>
    </w:rPr>
  </w:style>
  <w:style w:type="character" w:styleId="Strong">
    <w:name w:val="Strong"/>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2026-10-30T02:46:00Z</dcterms:created>
  <dcterms:modified xsi:type="dcterms:W3CDTF">2026-10-30T02:46:39Z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B746D90626884D46A064D0B3073CDB74_11</vt:lpwstr>
  </property>
  <property fmtid="{D5CDD505-2E9C-101B-9397-08002B2CF9AE}" pid="3" name="KSOProductBuildVer">
    <vt:lpwstr>2052-12.1.0.29161</vt:lpwstr>
  </property>
  <property fmtid="{D5CDD505-2E9C-101B-9397-08002B2CF9AE}" pid="4" name="KSOTemplateDocerSaveRecord">
    <vt:lpwstr>eyJoZGlkIjoiNDU3ZTI2MjBkNTEzNzY1OTdkZmY3ZjYxMTdjMWUxNDIiLCJ1c2VySWQiOiI1ODIxNTk5MDgifQ==</vt:lpwstr>
  </property>
</Properties>
</file>