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8AA115F">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基于定量CT联合乳腺脱氢酶及C反应蛋白对儿童难治性肺炎支原体肺炎的诊断价值</w:t>
      </w:r>
    </w:p>
    <w:p w14:paraId="13C47FEB">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0"/>
        <w:rPr>
          <w:rFonts w:ascii="宋体" w:eastAsia="宋体" w:hAnsi="宋体" w:cs="宋体" w:hint="eastAsia"/>
          <w:b w:val="0"/>
          <w:bCs/>
          <w:sz w:val="21"/>
          <w:szCs w:val="21"/>
        </w:rPr>
      </w:pPr>
      <w:bookmarkStart w:id="0" w:name="heading_0"/>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摘要</w:t>
      </w:r>
      <w:bookmarkEnd w:id="0"/>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目的</w:t>
      </w:r>
      <w:r>
        <w:rPr>
          <w:rFonts w:ascii="宋体" w:eastAsia="宋体" w:hAnsi="宋体" w:cs="宋体" w:hint="eastAsia"/>
          <w:b w:val="0"/>
          <w:bCs/>
          <w:sz w:val="21"/>
          <w:szCs w:val="21"/>
          <w:lang w:val="en-US" w:eastAsia="zh-CN"/>
        </w:rPr>
        <w:t xml:space="preserve"> </w:t>
      </w:r>
      <w:r>
        <w:rPr>
          <w:rFonts w:ascii="宋体" w:eastAsia="宋体" w:hAnsi="宋体" w:cs="宋体" w:hint="eastAsia"/>
          <w:b w:val="0"/>
          <w:bCs/>
          <w:sz w:val="21"/>
          <w:szCs w:val="21"/>
        </w:rPr>
        <w:t>研究胸部定量CT影像参数联合血清乳酸脱氢酶（LDH）、C反应蛋白（CRP）对儿童难治性肺炎支原体肺炎（RMPP）早期诊断的价值，为临床快速诊</w:t>
      </w:r>
      <w:r>
        <w:rPr>
          <w:rFonts w:ascii="宋体" w:eastAsia="宋体" w:hAnsi="宋体" w:cs="宋体" w:hint="eastAsia"/>
          <w:b w:val="0"/>
          <w:bCs/>
          <w:sz w:val="21"/>
          <w:szCs w:val="21"/>
          <w:lang w:val="en-US" w:eastAsia="zh-CN"/>
        </w:rPr>
        <w:t>断RMP</w:t>
      </w:r>
      <w:r>
        <w:rPr>
          <w:rFonts w:ascii="宋体" w:eastAsia="宋体" w:hAnsi="宋体" w:cs="宋体" w:hint="eastAsia"/>
          <w:b w:val="0"/>
          <w:bCs/>
          <w:sz w:val="21"/>
          <w:szCs w:val="21"/>
        </w:rPr>
        <w:t>P提供客观的标准。将2024年10月至2025年12月昌吉市人民医院儿科收治的肺炎支原体肺炎患儿96例分为RMPP组42例和普通MPP组54例。采集患儿入院24小时的血清LDH、CRP，住院48小时做胸部定量CT，取肺实变体积占全肺体积百分数和磨玻璃影平均</w:t>
      </w:r>
      <w:r>
        <w:rPr>
          <w:rFonts w:ascii="宋体" w:eastAsia="宋体" w:hAnsi="宋体" w:cs="宋体" w:hint="eastAsia"/>
          <w:b w:val="0"/>
          <w:bCs/>
          <w:sz w:val="21"/>
          <w:szCs w:val="21"/>
          <w:lang w:val="en-US" w:eastAsia="zh-CN"/>
        </w:rPr>
        <w:t>CT</w:t>
      </w:r>
      <w:r>
        <w:rPr>
          <w:rFonts w:ascii="宋体" w:eastAsia="宋体" w:hAnsi="宋体" w:cs="宋体" w:hint="eastAsia"/>
          <w:b w:val="0"/>
          <w:bCs/>
          <w:sz w:val="21"/>
          <w:szCs w:val="21"/>
        </w:rPr>
        <w:t>值两个定量CT参数。两组实验室炎症指标有显著差异，定量CT参数有显著差异。结论定量CT影像参数联合血清LDH</w:t>
      </w:r>
      <w:r>
        <w:rPr>
          <w:rFonts w:ascii="宋体" w:eastAsia="宋体" w:hAnsi="宋体" w:cs="宋体" w:hint="eastAsia"/>
          <w:b w:val="0"/>
          <w:bCs/>
          <w:sz w:val="21"/>
          <w:szCs w:val="21"/>
          <w:lang w:val="en-US" w:eastAsia="zh-CN"/>
        </w:rPr>
        <w:t>、C</w:t>
      </w:r>
      <w:r>
        <w:rPr>
          <w:rFonts w:ascii="宋体" w:eastAsia="宋体" w:hAnsi="宋体" w:cs="宋体" w:hint="eastAsia"/>
          <w:b w:val="0"/>
          <w:bCs/>
          <w:sz w:val="21"/>
          <w:szCs w:val="21"/>
        </w:rPr>
        <w:t>RP能明显提高儿童RMPP早期诊断的准确性，可以作为临床早期识别难治性支原体肺炎的客观检测方法，腐竹临床及时调整治疗方案，改善患儿的远期预后。</w:t>
      </w:r>
    </w:p>
    <w:p w14:paraId="6C4315E9">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关键词</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儿童；难治性肺炎支原体肺炎；定量CT；乳酸脱氢酶；C-反应蛋白</w:t>
      </w:r>
    </w:p>
    <w:p w14:paraId="1D1B6226">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肺炎支原体肺炎为儿童社区获得性肺炎常见的一种，非流行时占儿童社区获得性肺炎的10%～30%，流行年份发病率可以提高3～5倍，每隔3到7年就会有区域性的流行发生，并且最长可达一年</w:t>
      </w:r>
      <w:r>
        <w:rPr>
          <w:rFonts w:ascii="宋体" w:eastAsia="宋体" w:hAnsi="宋体" w:cs="宋体" w:hint="eastAsia"/>
          <w:b w:val="0"/>
          <w:bCs/>
          <w:sz w:val="21"/>
          <w:szCs w:val="21"/>
          <w:vertAlign w:val="superscript"/>
          <w:lang w:val="en-US" w:eastAsia="zh-CN"/>
        </w:rPr>
        <w:t>[1]</w:t>
      </w:r>
      <w:r>
        <w:rPr>
          <w:rFonts w:ascii="宋体" w:eastAsia="宋体" w:hAnsi="宋体" w:cs="宋体" w:hint="eastAsia"/>
          <w:b w:val="0"/>
          <w:bCs/>
          <w:sz w:val="21"/>
          <w:szCs w:val="21"/>
        </w:rPr>
        <w:t>。有些患儿发展成难治性肺炎支原体肺炎，即使使用常规大环内酯类抗生素规范治疗后临床症状和肺部病灶没有好转，也会引起胸腔积液、肺不张、闭塞性细支气管炎，影响儿童生长发育和生活质量，造成远期的慢性气道损伤</w:t>
      </w:r>
      <w:r>
        <w:rPr>
          <w:rFonts w:ascii="宋体" w:eastAsia="宋体" w:hAnsi="宋体" w:cs="宋体" w:hint="eastAsia"/>
          <w:b w:val="0"/>
          <w:bCs/>
          <w:sz w:val="21"/>
          <w:szCs w:val="21"/>
          <w:vertAlign w:val="superscript"/>
          <w:lang w:val="en-US" w:eastAsia="zh-CN"/>
        </w:rPr>
        <w:t>[2]</w:t>
      </w:r>
      <w:r>
        <w:rPr>
          <w:rFonts w:ascii="宋体" w:eastAsia="宋体" w:hAnsi="宋体" w:cs="宋体" w:hint="eastAsia"/>
          <w:b w:val="0"/>
          <w:bCs/>
          <w:sz w:val="21"/>
          <w:szCs w:val="21"/>
        </w:rPr>
        <w:t>。目前临床诊断支原体肺炎主要用支原体IgM抗体检测，但是支原体IgM抗体感染以后4到5天才慢慢出现，发病初期血清学一般为阴性，诊断窗口期存在滞后现象，容易造成治疗烟雾</w:t>
      </w:r>
      <w:r>
        <w:rPr>
          <w:rFonts w:ascii="宋体" w:eastAsia="宋体" w:hAnsi="宋体" w:cs="宋体" w:hint="eastAsia"/>
          <w:b w:val="0"/>
          <w:bCs/>
          <w:sz w:val="21"/>
          <w:szCs w:val="21"/>
          <w:lang w:val="en-US" w:eastAsia="zh-CN"/>
        </w:rPr>
        <w:t>。目</w:t>
      </w:r>
      <w:r>
        <w:rPr>
          <w:rFonts w:ascii="宋体" w:eastAsia="宋体" w:hAnsi="宋体" w:cs="宋体" w:hint="eastAsia"/>
          <w:b w:val="0"/>
          <w:bCs/>
          <w:sz w:val="21"/>
          <w:szCs w:val="21"/>
        </w:rPr>
        <w:t>前将定量CT影像特点联合血清LDH、CRP一起作为RMPP诊断依据的临床研究较少，影像定量参数和实验室炎症指标之间的互补诊断意义还未得到充分的解释</w:t>
      </w:r>
      <w:r>
        <w:rPr>
          <w:rFonts w:ascii="宋体" w:eastAsia="宋体" w:hAnsi="宋体" w:cs="宋体" w:hint="eastAsia"/>
          <w:b w:val="0"/>
          <w:bCs/>
          <w:sz w:val="21"/>
          <w:szCs w:val="21"/>
          <w:vertAlign w:val="superscript"/>
          <w:lang w:val="en-US" w:eastAsia="zh-CN"/>
        </w:rPr>
        <w:t>[3]</w:t>
      </w:r>
      <w:r>
        <w:rPr>
          <w:rFonts w:ascii="宋体" w:eastAsia="宋体" w:hAnsi="宋体" w:cs="宋体" w:hint="eastAsia"/>
          <w:b w:val="0"/>
          <w:bCs/>
          <w:sz w:val="21"/>
          <w:szCs w:val="21"/>
        </w:rPr>
        <w:t>。以临床确诊结果为金标准，对RMPP组和普通MPP组的定量CT参数、血清LDH、CRP进行对比，建立多指标联合诊断模型，评价此组合对儿童RMPP的鉴别诊断价值，为儿科临床早期诊断提供帮助。</w:t>
      </w:r>
    </w:p>
    <w:p w14:paraId="4C194B40">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0"/>
        <w:rPr>
          <w:rFonts w:ascii="宋体" w:eastAsia="宋体" w:hAnsi="宋体" w:cs="宋体" w:hint="default"/>
          <w:b/>
          <w:bCs w:val="0"/>
          <w:sz w:val="21"/>
          <w:szCs w:val="21"/>
          <w:lang w:val="en-US" w:eastAsia="zh-CN"/>
        </w:rPr>
      </w:pPr>
      <w:bookmarkStart w:id="1" w:name="heading_2"/>
      <w:r>
        <w:rPr>
          <w:rFonts w:ascii="宋体" w:eastAsia="宋体" w:hAnsi="宋体" w:cs="宋体" w:hint="eastAsia"/>
          <w:b/>
          <w:bCs w:val="0"/>
          <w:sz w:val="21"/>
          <w:szCs w:val="21"/>
          <w:lang w:val="en-US" w:eastAsia="zh-CN"/>
        </w:rPr>
        <w:t>1资料与方法</w:t>
      </w:r>
    </w:p>
    <w:p w14:paraId="5414349D">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0"/>
        <w:rPr>
          <w:rFonts w:ascii="宋体" w:eastAsia="宋体" w:hAnsi="宋体" w:cs="宋体" w:hint="eastAsia"/>
          <w:b w:val="0"/>
          <w:bCs/>
          <w:sz w:val="21"/>
          <w:szCs w:val="21"/>
        </w:rPr>
      </w:pPr>
      <w:r>
        <w:rPr>
          <w:rFonts w:ascii="宋体" w:eastAsia="宋体" w:hAnsi="宋体" w:cs="宋体" w:hint="eastAsia"/>
          <w:b w:val="0"/>
          <w:bCs/>
          <w:sz w:val="21"/>
          <w:szCs w:val="21"/>
          <w:lang w:val="en-US" w:eastAsia="zh-CN"/>
        </w:rPr>
        <w:t>1.1</w:t>
      </w:r>
      <w:r>
        <w:rPr>
          <w:rFonts w:ascii="宋体" w:eastAsia="宋体" w:hAnsi="宋体" w:cs="宋体" w:hint="eastAsia"/>
          <w:b w:val="0"/>
          <w:bCs/>
          <w:sz w:val="21"/>
          <w:szCs w:val="21"/>
        </w:rPr>
        <w:t>一般资料</w:t>
      </w:r>
      <w:bookmarkEnd w:id="1"/>
    </w:p>
    <w:p w14:paraId="0777CC90">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2024年10月至2025年12月在昌吉市人民医院儿科收治的MPP患儿共96例，按照“儿童社区获得性肺炎诊疗指南（2023年版）”分为RMPP组42例、普通MPP组54例。RMPP组男23例，女19例，平均年龄为（5.32±2.14）岁。普通MPP组男29例，女25例，年龄2-12岁，平均年龄（4.97±2.36）岁。两组小儿基线资料具有可比性（P＞0.05）。</w:t>
      </w:r>
    </w:p>
    <w:p w14:paraId="7A80B565">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纳入标准为MP感染确诊、MP-IgM阳性或者MP-DNA定量阳性。入院48小时内做胸部定量CT检查，入院24小时内做LDH、CRP检测。病历资料齐全。RMPP满足大环内酯类抗生素规范使用72h体温≥38.5℃，肺部病灶没有吸收或者扩大、合并胸腔积液或者肺外脏器损伤。普通MPP组大环内酯类治疗72h体温恢复至正常，肺部病灶逐渐被吸收，没有难治性相关的并发症。排除合并细菌、病毒混合感染的患者。先天性心脏病、免疫缺陷病。入组前一个月有糖皮质激素、免疫抑制剂的使用史。肝肾功能严重受损。</w:t>
      </w:r>
    </w:p>
    <w:p w14:paraId="17F76B87">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0"/>
        <w:rPr>
          <w:rFonts w:ascii="宋体" w:eastAsia="宋体" w:hAnsi="宋体" w:cs="宋体" w:hint="eastAsia"/>
          <w:b w:val="0"/>
          <w:bCs/>
          <w:sz w:val="21"/>
          <w:szCs w:val="21"/>
        </w:rPr>
      </w:pPr>
      <w:bookmarkStart w:id="2" w:name="heading_3"/>
      <w:r>
        <w:rPr>
          <w:rFonts w:ascii="宋体" w:eastAsia="宋体" w:hAnsi="宋体" w:cs="宋体" w:hint="eastAsia"/>
          <w:b w:val="0"/>
          <w:bCs/>
          <w:sz w:val="21"/>
          <w:szCs w:val="21"/>
          <w:lang w:val="en-US" w:eastAsia="zh-CN"/>
        </w:rPr>
        <w:t>1.2</w:t>
      </w:r>
      <w:r>
        <w:rPr>
          <w:rFonts w:ascii="宋体" w:eastAsia="宋体" w:hAnsi="宋体" w:cs="宋体" w:hint="eastAsia"/>
          <w:b w:val="0"/>
          <w:bCs/>
          <w:sz w:val="21"/>
          <w:szCs w:val="21"/>
        </w:rPr>
        <w:t>方法</w:t>
      </w:r>
      <w:bookmarkEnd w:id="2"/>
    </w:p>
    <w:p w14:paraId="743BF933">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1"/>
        <w:rPr>
          <w:rFonts w:ascii="宋体" w:eastAsia="宋体" w:hAnsi="宋体" w:cs="宋体" w:hint="eastAsia"/>
          <w:b w:val="0"/>
          <w:bCs/>
          <w:sz w:val="21"/>
          <w:szCs w:val="21"/>
        </w:rPr>
      </w:pPr>
      <w:bookmarkStart w:id="3" w:name="heading_4"/>
      <w:r>
        <w:rPr>
          <w:rFonts w:ascii="宋体" w:eastAsia="宋体" w:hAnsi="宋体" w:cs="宋体" w:hint="eastAsia"/>
          <w:b w:val="0"/>
          <w:bCs/>
          <w:sz w:val="21"/>
          <w:szCs w:val="21"/>
          <w:lang w:val="en-US" w:eastAsia="zh-CN"/>
        </w:rPr>
        <w:t>1.2.1</w:t>
      </w:r>
      <w:r>
        <w:rPr>
          <w:rFonts w:ascii="宋体" w:eastAsia="宋体" w:hAnsi="宋体" w:cs="宋体" w:hint="eastAsia"/>
          <w:b w:val="0"/>
          <w:bCs/>
          <w:sz w:val="21"/>
          <w:szCs w:val="21"/>
        </w:rPr>
        <w:t>实验室检测</w:t>
      </w:r>
      <w:bookmarkEnd w:id="3"/>
    </w:p>
    <w:p w14:paraId="46146B18">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对所有的患儿在入院24小时内采集空腹静脉血3mL，3000r/min离心10分钟取血清。LDH用全自动生化分析仪连续监测法测定，参考范围为200～380U/L。CRP用特定蛋白分析仪免疫比浊法进行测定，正常参考值为0～10mg/L。每批次检测时同时加入标准品、质控品，质控结果不合格时重新校准仪器后重新测定，保证检测结果的准确性。</w:t>
      </w:r>
    </w:p>
    <w:p w14:paraId="15502AE7">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1"/>
        <w:rPr>
          <w:rFonts w:ascii="宋体" w:eastAsia="宋体" w:hAnsi="宋体" w:cs="宋体" w:hint="eastAsia"/>
          <w:b w:val="0"/>
          <w:bCs/>
          <w:sz w:val="21"/>
          <w:szCs w:val="21"/>
        </w:rPr>
      </w:pPr>
      <w:bookmarkStart w:id="4" w:name="heading_5"/>
      <w:r>
        <w:rPr>
          <w:rFonts w:ascii="宋体" w:eastAsia="宋体" w:hAnsi="宋体" w:cs="宋体" w:hint="eastAsia"/>
          <w:b w:val="0"/>
          <w:bCs/>
          <w:sz w:val="21"/>
          <w:szCs w:val="21"/>
          <w:lang w:val="en-US" w:eastAsia="zh-CN"/>
        </w:rPr>
        <w:t>1.2.2</w:t>
      </w:r>
      <w:r>
        <w:rPr>
          <w:rFonts w:ascii="宋体" w:eastAsia="宋体" w:hAnsi="宋体" w:cs="宋体" w:hint="eastAsia"/>
          <w:b w:val="0"/>
          <w:bCs/>
          <w:sz w:val="21"/>
          <w:szCs w:val="21"/>
        </w:rPr>
        <w:t>胸部定量CT扫描与后处理</w:t>
      </w:r>
      <w:bookmarkEnd w:id="4"/>
    </w:p>
    <w:p w14:paraId="01567BBF">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使用GE 64排螺旋CT，扫描参数管电压从100kV-120kV，自动管电流，层厚1mm，矩阵512×512，扫描范围肺尖至膈顶。将原始DICOM图像直接导入本院的PACS配套的影像定量分析软件，在两个以上的儿科影像诊断经验超过5年的医师之间，用双盲的方式完成病灶的分割工作，用鼠标将肺部病变部分勾画出来，再计算出肺实变体积占全肺体积的比例。选择磨玻璃病变处三个ROI，每一个ROI面积大于等于100mm²，取平均值得到磨玻璃影的平均CT值。</w:t>
      </w:r>
    </w:p>
    <w:p w14:paraId="468C101B">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0"/>
        <w:rPr>
          <w:rFonts w:ascii="宋体" w:eastAsia="宋体" w:hAnsi="宋体" w:cs="宋体" w:hint="eastAsia"/>
          <w:b w:val="0"/>
          <w:bCs/>
          <w:sz w:val="21"/>
          <w:szCs w:val="21"/>
        </w:rPr>
      </w:pPr>
      <w:bookmarkStart w:id="5" w:name="heading_6"/>
      <w:r>
        <w:rPr>
          <w:rFonts w:ascii="宋体" w:eastAsia="宋体" w:hAnsi="宋体" w:cs="宋体" w:hint="eastAsia"/>
          <w:b w:val="0"/>
          <w:bCs/>
          <w:sz w:val="21"/>
          <w:szCs w:val="21"/>
          <w:lang w:val="en-US" w:eastAsia="zh-CN"/>
        </w:rPr>
        <w:t>1.3</w:t>
      </w:r>
      <w:r>
        <w:rPr>
          <w:rFonts w:ascii="宋体" w:eastAsia="宋体" w:hAnsi="宋体" w:cs="宋体" w:hint="eastAsia"/>
          <w:b w:val="0"/>
          <w:bCs/>
          <w:sz w:val="21"/>
          <w:szCs w:val="21"/>
        </w:rPr>
        <w:t>观察指标</w:t>
      </w:r>
      <w:bookmarkEnd w:id="5"/>
    </w:p>
    <w:p w14:paraId="578DE458">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lang w:eastAsia="zh-CN"/>
        </w:rPr>
        <w:t>（</w:t>
      </w:r>
      <w:r>
        <w:rPr>
          <w:rFonts w:ascii="宋体" w:eastAsia="宋体" w:hAnsi="宋体" w:cs="宋体" w:hint="eastAsia"/>
          <w:b w:val="0"/>
          <w:bCs/>
          <w:sz w:val="21"/>
          <w:szCs w:val="21"/>
          <w:lang w:val="en-US" w:eastAsia="zh-CN"/>
        </w:rPr>
        <w:t>1</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血清炎症实验室指标</w:t>
      </w:r>
    </w:p>
    <w:p w14:paraId="60927C39">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包含血清LDH(U/L)和血清CRP(mg/L)，是反映全身炎症负荷的功能性指标，为肺炎支原体感染造成全身组织损伤以及炎症反应的程度提供信息。</w:t>
      </w:r>
    </w:p>
    <w:p w14:paraId="5A3C1026">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lang w:eastAsia="zh-CN"/>
        </w:rPr>
        <w:t>（</w:t>
      </w:r>
      <w:r>
        <w:rPr>
          <w:rFonts w:ascii="宋体" w:eastAsia="宋体" w:hAnsi="宋体" w:cs="宋体" w:hint="eastAsia"/>
          <w:b w:val="0"/>
          <w:bCs/>
          <w:sz w:val="21"/>
          <w:szCs w:val="21"/>
          <w:lang w:val="en-US" w:eastAsia="zh-CN"/>
        </w:rPr>
        <w:t>2</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胸部定量CT影像参数</w:t>
      </w:r>
    </w:p>
    <w:p w14:paraId="10901C01">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肺实变体积占全肺体积百分比（%）和磨玻璃影平均CT值（HU），用以度量肺部病灶的范围及病灶的密度。</w:t>
      </w:r>
    </w:p>
    <w:p w14:paraId="4526FCFF">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0"/>
        <w:rPr>
          <w:rFonts w:ascii="宋体" w:eastAsia="宋体" w:hAnsi="宋体" w:cs="宋体" w:hint="eastAsia"/>
          <w:b w:val="0"/>
          <w:bCs/>
          <w:sz w:val="21"/>
          <w:szCs w:val="21"/>
        </w:rPr>
      </w:pPr>
      <w:bookmarkStart w:id="6" w:name="heading_7"/>
      <w:r>
        <w:rPr>
          <w:rFonts w:ascii="宋体" w:eastAsia="宋体" w:hAnsi="宋体" w:cs="宋体" w:hint="eastAsia"/>
          <w:b w:val="0"/>
          <w:bCs/>
          <w:sz w:val="21"/>
          <w:szCs w:val="21"/>
          <w:lang w:val="en-US" w:eastAsia="zh-CN"/>
        </w:rPr>
        <w:t>1.4</w:t>
      </w:r>
      <w:r>
        <w:rPr>
          <w:rFonts w:ascii="宋体" w:eastAsia="宋体" w:hAnsi="宋体" w:cs="宋体" w:hint="eastAsia"/>
          <w:b w:val="0"/>
          <w:bCs/>
          <w:sz w:val="21"/>
          <w:szCs w:val="21"/>
        </w:rPr>
        <w:t>统计学方法</w:t>
      </w:r>
      <w:bookmarkEnd w:id="6"/>
    </w:p>
    <w:p w14:paraId="1A6DEC5F">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使用SPSS 24.0软件进行统计分析。计量资料服从正态分布用均数加减标</w:t>
      </w:r>
      <w:r>
        <w:rPr>
          <w:rFonts w:ascii="宋体" w:eastAsia="宋体" w:hAnsi="宋体" w:cs="宋体" w:hint="eastAsia"/>
          <w:b w:val="0"/>
          <w:bCs/>
          <w:position w:val="-6"/>
          <w:sz w:val="21"/>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3pt" o:oleicon="f" o:ole="" coordsize="21600,21600" o:preferrelative="t" filled="f" stroked="f">
            <v:imagedata r:id="rId4" o:title=""/>
            <o:lock v:ext="edit" aspectratio="t"/>
            <w10:anchorlock/>
          </v:shape>
          <o:OLEObject Type="Embed" ProgID="Equation.KSEE3" ShapeID="_x0000_i1025" DrawAspect="Content" ObjectID="_1468075725" r:id="rId5"/>
        </w:object>
      </w:r>
      <w:r>
        <w:rPr>
          <w:rFonts w:ascii="宋体" w:eastAsia="宋体" w:hAnsi="宋体" w:cs="宋体" w:hint="eastAsia"/>
          <w:b w:val="0"/>
          <w:bCs/>
          <w:sz w:val="21"/>
          <w:szCs w:val="21"/>
        </w:rPr>
        <w:t>准差来表示，两组间用独立样本t检验。计数资料以例数、百分比表示，组间比较用χ²检验。P＜0.05为统计学上有显著差异。</w:t>
      </w:r>
    </w:p>
    <w:p w14:paraId="4E07AAA2">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0"/>
        <w:rPr>
          <w:rFonts w:ascii="宋体" w:eastAsia="宋体" w:hAnsi="宋体" w:cs="宋体" w:hint="eastAsia"/>
          <w:b/>
          <w:bCs w:val="0"/>
          <w:sz w:val="21"/>
          <w:szCs w:val="21"/>
        </w:rPr>
      </w:pPr>
      <w:bookmarkStart w:id="7" w:name="heading_8"/>
      <w:r>
        <w:rPr>
          <w:rFonts w:ascii="宋体" w:eastAsia="宋体" w:hAnsi="宋体" w:cs="宋体" w:hint="eastAsia"/>
          <w:b/>
          <w:bCs w:val="0"/>
          <w:sz w:val="21"/>
          <w:szCs w:val="21"/>
          <w:lang w:val="en-US" w:eastAsia="zh-CN"/>
        </w:rPr>
        <w:t>2</w:t>
      </w:r>
      <w:r>
        <w:rPr>
          <w:rFonts w:ascii="宋体" w:eastAsia="宋体" w:hAnsi="宋体" w:cs="宋体" w:hint="eastAsia"/>
          <w:b/>
          <w:bCs w:val="0"/>
          <w:sz w:val="21"/>
          <w:szCs w:val="21"/>
        </w:rPr>
        <w:t>结果</w:t>
      </w:r>
      <w:bookmarkEnd w:id="7"/>
    </w:p>
    <w:p w14:paraId="6D360ED9">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1"/>
        <w:rPr>
          <w:rFonts w:ascii="宋体" w:eastAsia="宋体" w:hAnsi="宋体" w:cs="宋体" w:hint="eastAsia"/>
          <w:b w:val="0"/>
          <w:bCs/>
          <w:sz w:val="21"/>
          <w:szCs w:val="21"/>
        </w:rPr>
      </w:pPr>
      <w:bookmarkStart w:id="8" w:name="heading_9"/>
      <w:r>
        <w:rPr>
          <w:rFonts w:ascii="宋体" w:eastAsia="宋体" w:hAnsi="宋体" w:cs="宋体" w:hint="eastAsia"/>
          <w:b w:val="0"/>
          <w:bCs/>
          <w:sz w:val="21"/>
          <w:szCs w:val="21"/>
          <w:lang w:val="en-US" w:eastAsia="zh-CN"/>
        </w:rPr>
        <w:t>2.1</w:t>
      </w:r>
      <w:r>
        <w:rPr>
          <w:rFonts w:ascii="宋体" w:eastAsia="宋体" w:hAnsi="宋体" w:cs="宋体" w:hint="eastAsia"/>
          <w:b w:val="0"/>
          <w:bCs/>
          <w:sz w:val="21"/>
          <w:szCs w:val="21"/>
        </w:rPr>
        <w:t>两组血清炎症实验室指标对比</w:t>
      </w:r>
      <w:bookmarkEnd w:id="8"/>
    </w:p>
    <w:p w14:paraId="610C3B92">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lang w:val="en-US" w:eastAsia="zh-CN"/>
        </w:rPr>
      </w:pPr>
      <w:r>
        <w:rPr>
          <w:rFonts w:ascii="宋体" w:eastAsia="宋体" w:hAnsi="宋体" w:cs="宋体" w:hint="eastAsia"/>
          <w:b w:val="0"/>
          <w:bCs/>
          <w:sz w:val="21"/>
          <w:szCs w:val="21"/>
        </w:rPr>
        <w:t>RMPP组患儿血清LDH、CRP检测值均明显高于普通MPP组，两组比较t检验结果P＜0.001，组间有统计学意义，</w:t>
      </w:r>
      <w:r>
        <w:rPr>
          <w:rFonts w:ascii="宋体" w:eastAsia="宋体" w:hAnsi="宋体" w:cs="宋体" w:hint="eastAsia"/>
          <w:b w:val="0"/>
          <w:bCs/>
          <w:sz w:val="21"/>
          <w:szCs w:val="21"/>
          <w:lang w:eastAsia="zh-CN"/>
        </w:rPr>
        <w:t>见</w:t>
      </w:r>
      <w:r>
        <w:rPr>
          <w:rFonts w:ascii="宋体" w:eastAsia="宋体" w:hAnsi="宋体" w:cs="宋体" w:hint="eastAsia"/>
          <w:b w:val="0"/>
          <w:bCs/>
          <w:sz w:val="21"/>
          <w:szCs w:val="21"/>
          <w:lang w:val="en-US" w:eastAsia="zh-CN"/>
        </w:rPr>
        <w:t>表1。</w:t>
      </w:r>
    </w:p>
    <w:p w14:paraId="2E4585F2">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default"/>
          <w:b w:val="0"/>
          <w:bCs/>
          <w:sz w:val="21"/>
          <w:szCs w:val="21"/>
          <w:lang w:val="en-US" w:eastAsia="zh-CN"/>
        </w:rPr>
      </w:pPr>
      <w:r>
        <w:rPr>
          <w:rFonts w:ascii="宋体" w:eastAsia="宋体" w:hAnsi="宋体" w:cs="宋体" w:hint="eastAsia"/>
          <w:b w:val="0"/>
          <w:bCs/>
          <w:sz w:val="21"/>
          <w:szCs w:val="21"/>
        </w:rPr>
        <w:t>表1 RMPP组与普通MPP组血清LDH、CRP水平比较（</w:t>
      </w:r>
      <w:r>
        <w:rPr>
          <w:rFonts w:ascii="宋体" w:eastAsia="宋体" w:hAnsi="宋体" w:cs="宋体" w:hint="eastAsia"/>
          <w:b w:val="0"/>
          <w:bCs/>
          <w:position w:val="-6"/>
          <w:sz w:val="21"/>
          <w:szCs w:val="21"/>
        </w:rPr>
        <w:object>
          <v:shape id="_x0000_i1026" type="#_x0000_t75" style="width:11pt;height:13pt" o:oleicon="f" o:ole="" coordsize="21600,21600" o:preferrelative="t" filled="f" stroked="f">
            <v:imagedata r:id="rId4" o:title=""/>
            <o:lock v:ext="edit" aspectratio="t"/>
            <w10:anchorlock/>
          </v:shape>
          <o:OLEObject Type="Embed" ProgID="Equation.KSEE3" ShapeID="_x0000_i1026" DrawAspect="Content" ObjectID="_1468075726" r:id="rId6"/>
        </w:object>
      </w:r>
      <w:r>
        <w:rPr>
          <w:rFonts w:ascii="宋体" w:eastAsia="宋体" w:hAnsi="宋体" w:cs="宋体" w:hint="eastAsia"/>
          <w:b w:val="0"/>
          <w:bCs/>
          <w:sz w:val="21"/>
          <w:szCs w:val="21"/>
        </w:rPr>
        <w:t>±s）</w:t>
      </w:r>
    </w:p>
    <w:tbl>
      <w:tblPr>
        <w:tblStyle w:val="TableNormal"/>
        <w:tblW w:w="0" w:type="auto"/>
        <w:tblInd w:w="0" w:type="dxa"/>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tblLayout w:type="fixed"/>
        <w:tblCellMar>
          <w:top w:w="0" w:type="dxa"/>
          <w:left w:w="10" w:type="dxa"/>
          <w:bottom w:w="0" w:type="dxa"/>
          <w:right w:w="10" w:type="dxa"/>
        </w:tblCellMar>
      </w:tblPr>
      <w:tblGrid>
        <w:gridCol w:w="1815"/>
        <w:gridCol w:w="1215"/>
        <w:gridCol w:w="2625"/>
        <w:gridCol w:w="2625"/>
      </w:tblGrid>
      <w:tr w14:paraId="0EF946CF">
        <w:tblPrEx>
          <w:tblW w:w="0" w:type="auto"/>
          <w:tblInd w:w="0" w:type="dxa"/>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tblLayout w:type="fixed"/>
          <w:tblCellMar>
            <w:top w:w="0" w:type="dxa"/>
            <w:left w:w="10" w:type="dxa"/>
            <w:bottom w:w="0" w:type="dxa"/>
            <w:right w:w="10" w:type="dxa"/>
          </w:tblCellMar>
        </w:tblPrEx>
        <w:tc>
          <w:tcPr>
            <w:tcW w:w="1815" w:type="dxa"/>
            <w:tcBorders>
              <w:bottom w:val="single" w:sz="8" w:space="0" w:color="000000" w:themeColor="text1"/>
            </w:tcBorders>
            <w:tcMar>
              <w:top w:w="60" w:type="dxa"/>
              <w:left w:w="120" w:type="dxa"/>
              <w:bottom w:w="30" w:type="dxa"/>
              <w:right w:w="120" w:type="dxa"/>
            </w:tcMar>
            <w:vAlign w:val="center"/>
          </w:tcPr>
          <w:p w14:paraId="09EAACE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分组</w:t>
            </w:r>
          </w:p>
        </w:tc>
        <w:tc>
          <w:tcPr>
            <w:tcW w:w="1215" w:type="dxa"/>
            <w:tcBorders>
              <w:bottom w:val="single" w:sz="8" w:space="0" w:color="000000" w:themeColor="text1"/>
            </w:tcBorders>
            <w:tcMar>
              <w:top w:w="60" w:type="dxa"/>
              <w:left w:w="120" w:type="dxa"/>
              <w:bottom w:w="30" w:type="dxa"/>
              <w:right w:w="120" w:type="dxa"/>
            </w:tcMar>
            <w:vAlign w:val="center"/>
          </w:tcPr>
          <w:p w14:paraId="117473C2">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例数</w:t>
            </w:r>
          </w:p>
        </w:tc>
        <w:tc>
          <w:tcPr>
            <w:tcW w:w="2625" w:type="dxa"/>
            <w:tcBorders>
              <w:bottom w:val="single" w:sz="8" w:space="0" w:color="000000" w:themeColor="text1"/>
            </w:tcBorders>
            <w:tcMar>
              <w:top w:w="60" w:type="dxa"/>
              <w:left w:w="120" w:type="dxa"/>
              <w:bottom w:w="30" w:type="dxa"/>
              <w:right w:w="120" w:type="dxa"/>
            </w:tcMar>
            <w:vAlign w:val="center"/>
          </w:tcPr>
          <w:p w14:paraId="629699B2">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LDH（U/L）</w:t>
            </w:r>
          </w:p>
        </w:tc>
        <w:tc>
          <w:tcPr>
            <w:tcW w:w="2625" w:type="dxa"/>
            <w:tcBorders>
              <w:bottom w:val="single" w:sz="8" w:space="0" w:color="000000" w:themeColor="text1"/>
            </w:tcBorders>
            <w:tcMar>
              <w:top w:w="60" w:type="dxa"/>
              <w:left w:w="120" w:type="dxa"/>
              <w:bottom w:w="30" w:type="dxa"/>
              <w:right w:w="120" w:type="dxa"/>
            </w:tcMar>
            <w:vAlign w:val="center"/>
          </w:tcPr>
          <w:p w14:paraId="1B63D5E2">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CRP（mg/L）</w:t>
            </w:r>
          </w:p>
        </w:tc>
      </w:tr>
      <w:tr w14:paraId="79F663B9">
        <w:tblPrEx>
          <w:tblW w:w="0" w:type="auto"/>
          <w:tblInd w:w="0" w:type="dxa"/>
          <w:tblLayout w:type="fixed"/>
          <w:tblCellMar>
            <w:top w:w="0" w:type="dxa"/>
            <w:left w:w="10" w:type="dxa"/>
            <w:bottom w:w="0" w:type="dxa"/>
            <w:right w:w="10" w:type="dxa"/>
          </w:tblCellMar>
        </w:tblPrEx>
        <w:tc>
          <w:tcPr>
            <w:tcW w:w="1815" w:type="dxa"/>
            <w:tcBorders>
              <w:top w:val="single" w:sz="8" w:space="0" w:color="000000" w:themeColor="text1"/>
              <w:tl2br w:val="nil"/>
              <w:tr2bl w:val="nil"/>
            </w:tcBorders>
            <w:tcMar>
              <w:top w:w="60" w:type="dxa"/>
              <w:left w:w="120" w:type="dxa"/>
              <w:bottom w:w="30" w:type="dxa"/>
              <w:right w:w="120" w:type="dxa"/>
            </w:tcMar>
            <w:vAlign w:val="center"/>
          </w:tcPr>
          <w:p w14:paraId="2A3DD8F5">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RMPP组</w:t>
            </w:r>
          </w:p>
        </w:tc>
        <w:tc>
          <w:tcPr>
            <w:tcW w:w="1215" w:type="dxa"/>
            <w:tcBorders>
              <w:top w:val="single" w:sz="8" w:space="0" w:color="000000" w:themeColor="text1"/>
              <w:tl2br w:val="nil"/>
              <w:tr2bl w:val="nil"/>
            </w:tcBorders>
            <w:tcMar>
              <w:top w:w="60" w:type="dxa"/>
              <w:left w:w="120" w:type="dxa"/>
              <w:bottom w:w="30" w:type="dxa"/>
              <w:right w:w="120" w:type="dxa"/>
            </w:tcMar>
            <w:vAlign w:val="center"/>
          </w:tcPr>
          <w:p w14:paraId="52FBA53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42</w:t>
            </w:r>
          </w:p>
        </w:tc>
        <w:tc>
          <w:tcPr>
            <w:tcW w:w="2625" w:type="dxa"/>
            <w:tcBorders>
              <w:top w:val="single" w:sz="8" w:space="0" w:color="000000" w:themeColor="text1"/>
              <w:tl2br w:val="nil"/>
              <w:tr2bl w:val="nil"/>
            </w:tcBorders>
            <w:tcMar>
              <w:top w:w="60" w:type="dxa"/>
              <w:left w:w="120" w:type="dxa"/>
              <w:bottom w:w="30" w:type="dxa"/>
              <w:right w:w="120" w:type="dxa"/>
            </w:tcMar>
            <w:vAlign w:val="center"/>
          </w:tcPr>
          <w:p w14:paraId="45A71E74">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462.37±64.82</w:t>
            </w:r>
          </w:p>
        </w:tc>
        <w:tc>
          <w:tcPr>
            <w:tcW w:w="2625" w:type="dxa"/>
            <w:tcBorders>
              <w:top w:val="single" w:sz="8" w:space="0" w:color="000000" w:themeColor="text1"/>
              <w:tl2br w:val="nil"/>
              <w:tr2bl w:val="nil"/>
            </w:tcBorders>
            <w:tcMar>
              <w:top w:w="60" w:type="dxa"/>
              <w:left w:w="120" w:type="dxa"/>
              <w:bottom w:w="30" w:type="dxa"/>
              <w:right w:w="120" w:type="dxa"/>
            </w:tcMar>
            <w:vAlign w:val="center"/>
          </w:tcPr>
          <w:p w14:paraId="570D1ECC">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43.51±11.26</w:t>
            </w:r>
          </w:p>
        </w:tc>
      </w:tr>
      <w:tr w14:paraId="39815BFF">
        <w:tblPrEx>
          <w:tblW w:w="0" w:type="auto"/>
          <w:tblInd w:w="0" w:type="dxa"/>
          <w:tblLayout w:type="fixed"/>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792BCC1E">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普通MPP组</w:t>
            </w:r>
          </w:p>
        </w:tc>
        <w:tc>
          <w:tcPr>
            <w:tcW w:w="1215" w:type="dxa"/>
            <w:tcBorders>
              <w:tl2br w:val="nil"/>
              <w:tr2bl w:val="nil"/>
            </w:tcBorders>
            <w:tcMar>
              <w:top w:w="60" w:type="dxa"/>
              <w:left w:w="120" w:type="dxa"/>
              <w:bottom w:w="30" w:type="dxa"/>
              <w:right w:w="120" w:type="dxa"/>
            </w:tcMar>
            <w:vAlign w:val="center"/>
          </w:tcPr>
          <w:p w14:paraId="3806766E">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54</w:t>
            </w:r>
          </w:p>
        </w:tc>
        <w:tc>
          <w:tcPr>
            <w:tcW w:w="2625" w:type="dxa"/>
            <w:tcBorders>
              <w:tl2br w:val="nil"/>
              <w:tr2bl w:val="nil"/>
            </w:tcBorders>
            <w:tcMar>
              <w:top w:w="60" w:type="dxa"/>
              <w:left w:w="120" w:type="dxa"/>
              <w:bottom w:w="30" w:type="dxa"/>
              <w:right w:w="120" w:type="dxa"/>
            </w:tcMar>
            <w:vAlign w:val="center"/>
          </w:tcPr>
          <w:p w14:paraId="4170EBE3">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327.15±51.63</w:t>
            </w:r>
          </w:p>
        </w:tc>
        <w:tc>
          <w:tcPr>
            <w:tcW w:w="2625" w:type="dxa"/>
            <w:tcBorders>
              <w:tl2br w:val="nil"/>
              <w:tr2bl w:val="nil"/>
            </w:tcBorders>
            <w:tcMar>
              <w:top w:w="60" w:type="dxa"/>
              <w:left w:w="120" w:type="dxa"/>
              <w:bottom w:w="30" w:type="dxa"/>
              <w:right w:w="120" w:type="dxa"/>
            </w:tcMar>
            <w:vAlign w:val="center"/>
          </w:tcPr>
          <w:p w14:paraId="104E9E96">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17.84±6.39</w:t>
            </w:r>
          </w:p>
        </w:tc>
      </w:tr>
      <w:tr w14:paraId="049891FA">
        <w:tblPrEx>
          <w:tblW w:w="0" w:type="auto"/>
          <w:tblInd w:w="0" w:type="dxa"/>
          <w:tblLayout w:type="fixed"/>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418EE0B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t值</w:t>
            </w:r>
          </w:p>
        </w:tc>
        <w:tc>
          <w:tcPr>
            <w:tcW w:w="1215" w:type="dxa"/>
            <w:tcBorders>
              <w:tl2br w:val="nil"/>
              <w:tr2bl w:val="nil"/>
            </w:tcBorders>
            <w:tcMar>
              <w:top w:w="60" w:type="dxa"/>
              <w:left w:w="120" w:type="dxa"/>
              <w:bottom w:w="30" w:type="dxa"/>
              <w:right w:w="120" w:type="dxa"/>
            </w:tcMar>
            <w:vAlign w:val="center"/>
          </w:tcPr>
          <w:p w14:paraId="1B34CA3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w:t>
            </w:r>
          </w:p>
        </w:tc>
        <w:tc>
          <w:tcPr>
            <w:tcW w:w="2625" w:type="dxa"/>
            <w:tcBorders>
              <w:tl2br w:val="nil"/>
              <w:tr2bl w:val="nil"/>
            </w:tcBorders>
            <w:tcMar>
              <w:top w:w="60" w:type="dxa"/>
              <w:left w:w="120" w:type="dxa"/>
              <w:bottom w:w="30" w:type="dxa"/>
              <w:right w:w="120" w:type="dxa"/>
            </w:tcMar>
            <w:vAlign w:val="center"/>
          </w:tcPr>
          <w:p w14:paraId="13D35E84">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11.263</w:t>
            </w:r>
          </w:p>
        </w:tc>
        <w:tc>
          <w:tcPr>
            <w:tcW w:w="2625" w:type="dxa"/>
            <w:tcBorders>
              <w:tl2br w:val="nil"/>
              <w:tr2bl w:val="nil"/>
            </w:tcBorders>
            <w:tcMar>
              <w:top w:w="60" w:type="dxa"/>
              <w:left w:w="120" w:type="dxa"/>
              <w:bottom w:w="30" w:type="dxa"/>
              <w:right w:w="120" w:type="dxa"/>
            </w:tcMar>
            <w:vAlign w:val="center"/>
          </w:tcPr>
          <w:p w14:paraId="07F21CF9">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13.471</w:t>
            </w:r>
          </w:p>
        </w:tc>
      </w:tr>
      <w:tr w14:paraId="30B69BA3">
        <w:tblPrEx>
          <w:tblW w:w="0" w:type="auto"/>
          <w:tblInd w:w="0" w:type="dxa"/>
          <w:tblLayout w:type="fixed"/>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29E81AA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P值</w:t>
            </w:r>
          </w:p>
        </w:tc>
        <w:tc>
          <w:tcPr>
            <w:tcW w:w="1215" w:type="dxa"/>
            <w:tcBorders>
              <w:tl2br w:val="nil"/>
              <w:tr2bl w:val="nil"/>
            </w:tcBorders>
            <w:tcMar>
              <w:top w:w="60" w:type="dxa"/>
              <w:left w:w="120" w:type="dxa"/>
              <w:bottom w:w="30" w:type="dxa"/>
              <w:right w:w="120" w:type="dxa"/>
            </w:tcMar>
            <w:vAlign w:val="center"/>
          </w:tcPr>
          <w:p w14:paraId="6384A484">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w:t>
            </w:r>
          </w:p>
        </w:tc>
        <w:tc>
          <w:tcPr>
            <w:tcW w:w="2625" w:type="dxa"/>
            <w:tcBorders>
              <w:tl2br w:val="nil"/>
              <w:tr2bl w:val="nil"/>
            </w:tcBorders>
            <w:tcMar>
              <w:top w:w="60" w:type="dxa"/>
              <w:left w:w="120" w:type="dxa"/>
              <w:bottom w:w="30" w:type="dxa"/>
              <w:right w:w="120" w:type="dxa"/>
            </w:tcMar>
            <w:vAlign w:val="center"/>
          </w:tcPr>
          <w:p w14:paraId="1372737F">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＜0.001</w:t>
            </w:r>
          </w:p>
        </w:tc>
        <w:tc>
          <w:tcPr>
            <w:tcW w:w="2625" w:type="dxa"/>
            <w:tcBorders>
              <w:tl2br w:val="nil"/>
              <w:tr2bl w:val="nil"/>
            </w:tcBorders>
            <w:tcMar>
              <w:top w:w="60" w:type="dxa"/>
              <w:left w:w="120" w:type="dxa"/>
              <w:bottom w:w="30" w:type="dxa"/>
              <w:right w:w="120" w:type="dxa"/>
            </w:tcMar>
            <w:vAlign w:val="center"/>
          </w:tcPr>
          <w:p w14:paraId="5F646C5A">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＜0.001</w:t>
            </w:r>
          </w:p>
        </w:tc>
      </w:tr>
    </w:tbl>
    <w:p w14:paraId="4A08B4A6">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1"/>
        <w:rPr>
          <w:rFonts w:ascii="宋体" w:eastAsia="宋体" w:hAnsi="宋体" w:cs="宋体" w:hint="eastAsia"/>
          <w:b w:val="0"/>
          <w:bCs/>
          <w:sz w:val="21"/>
          <w:szCs w:val="21"/>
        </w:rPr>
      </w:pPr>
      <w:bookmarkStart w:id="9" w:name="heading_10"/>
      <w:r>
        <w:rPr>
          <w:rFonts w:ascii="宋体" w:eastAsia="宋体" w:hAnsi="宋体" w:cs="宋体" w:hint="eastAsia"/>
          <w:b w:val="0"/>
          <w:bCs/>
          <w:sz w:val="21"/>
          <w:szCs w:val="21"/>
          <w:lang w:val="en-US" w:eastAsia="zh-CN"/>
        </w:rPr>
        <w:t>2.2</w:t>
      </w:r>
      <w:r>
        <w:rPr>
          <w:rFonts w:ascii="宋体" w:eastAsia="宋体" w:hAnsi="宋体" w:cs="宋体" w:hint="eastAsia"/>
          <w:b w:val="0"/>
          <w:bCs/>
          <w:sz w:val="21"/>
          <w:szCs w:val="21"/>
        </w:rPr>
        <w:t>两组胸部定量CT影像参数对比</w:t>
      </w:r>
      <w:bookmarkEnd w:id="9"/>
    </w:p>
    <w:p w14:paraId="549F5E8E">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RMPP组肺实变体积占全肺体积的百分比比普通MPP组高，磨玻璃影的平均CT值也高，两组t检验P&lt;0.001，有统计学意义。见</w:t>
      </w:r>
      <w:r>
        <w:rPr>
          <w:rFonts w:ascii="宋体" w:eastAsia="宋体" w:hAnsi="宋体" w:cs="宋体" w:hint="eastAsia"/>
          <w:b w:val="0"/>
          <w:bCs/>
          <w:sz w:val="21"/>
          <w:szCs w:val="21"/>
          <w:lang w:val="en-US" w:eastAsia="zh-CN"/>
        </w:rPr>
        <w:t>表2。</w:t>
      </w:r>
    </w:p>
    <w:p w14:paraId="2E00F252">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表2 RMPP组与普通MPP组定量CT参数比较（</w:t>
      </w:r>
      <w:r>
        <w:rPr>
          <w:rFonts w:ascii="宋体" w:eastAsia="宋体" w:hAnsi="宋体" w:cs="宋体" w:hint="eastAsia"/>
          <w:b w:val="0"/>
          <w:bCs/>
          <w:position w:val="-6"/>
          <w:sz w:val="21"/>
          <w:szCs w:val="21"/>
        </w:rPr>
        <w:object>
          <v:shape id="_x0000_i1027" type="#_x0000_t75" style="width:11pt;height:13pt" o:oleicon="f" o:ole="" coordsize="21600,21600" o:preferrelative="t" filled="f" stroked="f">
            <v:imagedata r:id="rId4" o:title=""/>
            <o:lock v:ext="edit" aspectratio="t"/>
            <w10:anchorlock/>
          </v:shape>
          <o:OLEObject Type="Embed" ProgID="Equation.KSEE3" ShapeID="_x0000_i1027" DrawAspect="Content" ObjectID="_1468075727" r:id="rId7"/>
        </w:object>
      </w:r>
      <w:r>
        <w:rPr>
          <w:rFonts w:ascii="宋体" w:eastAsia="宋体" w:hAnsi="宋体" w:cs="宋体" w:hint="eastAsia"/>
          <w:b w:val="0"/>
          <w:bCs/>
          <w:sz w:val="21"/>
          <w:szCs w:val="21"/>
        </w:rPr>
        <w:t>±s）</w:t>
      </w:r>
    </w:p>
    <w:tbl>
      <w:tblPr>
        <w:tblStyle w:val="TableNormal"/>
        <w:tblW w:w="0" w:type="auto"/>
        <w:tblInd w:w="0" w:type="dxa"/>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tblLayout w:type="fixed"/>
        <w:tblCellMar>
          <w:top w:w="0" w:type="dxa"/>
          <w:left w:w="10" w:type="dxa"/>
          <w:bottom w:w="0" w:type="dxa"/>
          <w:right w:w="10" w:type="dxa"/>
        </w:tblCellMar>
      </w:tblPr>
      <w:tblGrid>
        <w:gridCol w:w="1815"/>
        <w:gridCol w:w="1215"/>
        <w:gridCol w:w="2625"/>
        <w:gridCol w:w="2625"/>
      </w:tblGrid>
      <w:tr w14:paraId="1DD9A5DE">
        <w:tblPrEx>
          <w:tblW w:w="0" w:type="auto"/>
          <w:tblInd w:w="0" w:type="dxa"/>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tblLayout w:type="fixed"/>
          <w:tblCellMar>
            <w:top w:w="0" w:type="dxa"/>
            <w:left w:w="10" w:type="dxa"/>
            <w:bottom w:w="0" w:type="dxa"/>
            <w:right w:w="10" w:type="dxa"/>
          </w:tblCellMar>
        </w:tblPrEx>
        <w:tc>
          <w:tcPr>
            <w:tcW w:w="1815" w:type="dxa"/>
            <w:tcBorders>
              <w:bottom w:val="single" w:sz="8" w:space="0" w:color="000000" w:themeColor="text1"/>
            </w:tcBorders>
            <w:tcMar>
              <w:top w:w="60" w:type="dxa"/>
              <w:left w:w="120" w:type="dxa"/>
              <w:bottom w:w="30" w:type="dxa"/>
              <w:right w:w="120" w:type="dxa"/>
            </w:tcMar>
            <w:vAlign w:val="center"/>
          </w:tcPr>
          <w:p w14:paraId="309DC5C5">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分组</w:t>
            </w:r>
          </w:p>
        </w:tc>
        <w:tc>
          <w:tcPr>
            <w:tcW w:w="1215" w:type="dxa"/>
            <w:tcBorders>
              <w:bottom w:val="single" w:sz="8" w:space="0" w:color="000000" w:themeColor="text1"/>
            </w:tcBorders>
            <w:tcMar>
              <w:top w:w="60" w:type="dxa"/>
              <w:left w:w="120" w:type="dxa"/>
              <w:bottom w:w="30" w:type="dxa"/>
              <w:right w:w="120" w:type="dxa"/>
            </w:tcMar>
            <w:vAlign w:val="center"/>
          </w:tcPr>
          <w:p w14:paraId="7E36C8AD">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例数</w:t>
            </w:r>
          </w:p>
        </w:tc>
        <w:tc>
          <w:tcPr>
            <w:tcW w:w="2625" w:type="dxa"/>
            <w:tcBorders>
              <w:bottom w:val="single" w:sz="8" w:space="0" w:color="000000" w:themeColor="text1"/>
            </w:tcBorders>
            <w:tcMar>
              <w:top w:w="60" w:type="dxa"/>
              <w:left w:w="120" w:type="dxa"/>
              <w:bottom w:w="30" w:type="dxa"/>
              <w:right w:w="120" w:type="dxa"/>
            </w:tcMar>
            <w:vAlign w:val="center"/>
          </w:tcPr>
          <w:p w14:paraId="6248416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肺实变体积占全肺体积百分比（%）</w:t>
            </w:r>
          </w:p>
        </w:tc>
        <w:tc>
          <w:tcPr>
            <w:tcW w:w="2625" w:type="dxa"/>
            <w:tcBorders>
              <w:bottom w:val="single" w:sz="8" w:space="0" w:color="000000" w:themeColor="text1"/>
            </w:tcBorders>
            <w:tcMar>
              <w:top w:w="60" w:type="dxa"/>
              <w:left w:w="120" w:type="dxa"/>
              <w:bottom w:w="30" w:type="dxa"/>
              <w:right w:w="120" w:type="dxa"/>
            </w:tcMar>
            <w:vAlign w:val="center"/>
          </w:tcPr>
          <w:p w14:paraId="0118D0FA">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磨玻璃影平均CT值（HU）</w:t>
            </w:r>
          </w:p>
        </w:tc>
      </w:tr>
      <w:tr w14:paraId="25E1478F">
        <w:tblPrEx>
          <w:tblW w:w="0" w:type="auto"/>
          <w:tblInd w:w="0" w:type="dxa"/>
          <w:tblLayout w:type="fixed"/>
          <w:tblCellMar>
            <w:top w:w="0" w:type="dxa"/>
            <w:left w:w="10" w:type="dxa"/>
            <w:bottom w:w="0" w:type="dxa"/>
            <w:right w:w="10" w:type="dxa"/>
          </w:tblCellMar>
        </w:tblPrEx>
        <w:tc>
          <w:tcPr>
            <w:tcW w:w="1815" w:type="dxa"/>
            <w:tcBorders>
              <w:top w:val="single" w:sz="8" w:space="0" w:color="000000" w:themeColor="text1"/>
              <w:tl2br w:val="nil"/>
              <w:tr2bl w:val="nil"/>
            </w:tcBorders>
            <w:tcMar>
              <w:top w:w="60" w:type="dxa"/>
              <w:left w:w="120" w:type="dxa"/>
              <w:bottom w:w="30" w:type="dxa"/>
              <w:right w:w="120" w:type="dxa"/>
            </w:tcMar>
            <w:vAlign w:val="center"/>
          </w:tcPr>
          <w:p w14:paraId="4109963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RMPP组</w:t>
            </w:r>
          </w:p>
        </w:tc>
        <w:tc>
          <w:tcPr>
            <w:tcW w:w="1215" w:type="dxa"/>
            <w:tcBorders>
              <w:top w:val="single" w:sz="8" w:space="0" w:color="000000" w:themeColor="text1"/>
              <w:tl2br w:val="nil"/>
              <w:tr2bl w:val="nil"/>
            </w:tcBorders>
            <w:tcMar>
              <w:top w:w="60" w:type="dxa"/>
              <w:left w:w="120" w:type="dxa"/>
              <w:bottom w:w="30" w:type="dxa"/>
              <w:right w:w="120" w:type="dxa"/>
            </w:tcMar>
            <w:vAlign w:val="center"/>
          </w:tcPr>
          <w:p w14:paraId="344B6E25">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42</w:t>
            </w:r>
          </w:p>
        </w:tc>
        <w:tc>
          <w:tcPr>
            <w:tcW w:w="2625" w:type="dxa"/>
            <w:tcBorders>
              <w:top w:val="single" w:sz="8" w:space="0" w:color="000000" w:themeColor="text1"/>
              <w:tl2br w:val="nil"/>
              <w:tr2bl w:val="nil"/>
            </w:tcBorders>
            <w:tcMar>
              <w:top w:w="60" w:type="dxa"/>
              <w:left w:w="120" w:type="dxa"/>
              <w:bottom w:w="30" w:type="dxa"/>
              <w:right w:w="120" w:type="dxa"/>
            </w:tcMar>
            <w:vAlign w:val="center"/>
          </w:tcPr>
          <w:p w14:paraId="12886976">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14.73±4.26</w:t>
            </w:r>
          </w:p>
        </w:tc>
        <w:tc>
          <w:tcPr>
            <w:tcW w:w="2625" w:type="dxa"/>
            <w:tcBorders>
              <w:top w:val="single" w:sz="8" w:space="0" w:color="000000" w:themeColor="text1"/>
              <w:tl2br w:val="nil"/>
              <w:tr2bl w:val="nil"/>
            </w:tcBorders>
            <w:tcMar>
              <w:top w:w="60" w:type="dxa"/>
              <w:left w:w="120" w:type="dxa"/>
              <w:bottom w:w="30" w:type="dxa"/>
              <w:right w:w="120" w:type="dxa"/>
            </w:tcMar>
            <w:vAlign w:val="center"/>
          </w:tcPr>
          <w:p w14:paraId="1B1E9767">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-216.42±37.58</w:t>
            </w:r>
          </w:p>
        </w:tc>
      </w:tr>
      <w:tr w14:paraId="3FCC72F6">
        <w:tblPrEx>
          <w:tblW w:w="0" w:type="auto"/>
          <w:tblInd w:w="0" w:type="dxa"/>
          <w:tblLayout w:type="fixed"/>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74504FF3">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普通MPP组</w:t>
            </w:r>
          </w:p>
        </w:tc>
        <w:tc>
          <w:tcPr>
            <w:tcW w:w="1215" w:type="dxa"/>
            <w:tcBorders>
              <w:tl2br w:val="nil"/>
              <w:tr2bl w:val="nil"/>
            </w:tcBorders>
            <w:tcMar>
              <w:top w:w="60" w:type="dxa"/>
              <w:left w:w="120" w:type="dxa"/>
              <w:bottom w:w="30" w:type="dxa"/>
              <w:right w:w="120" w:type="dxa"/>
            </w:tcMar>
            <w:vAlign w:val="center"/>
          </w:tcPr>
          <w:p w14:paraId="594AC28F">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54</w:t>
            </w:r>
          </w:p>
        </w:tc>
        <w:tc>
          <w:tcPr>
            <w:tcW w:w="2625" w:type="dxa"/>
            <w:tcBorders>
              <w:tl2br w:val="nil"/>
              <w:tr2bl w:val="nil"/>
            </w:tcBorders>
            <w:tcMar>
              <w:top w:w="60" w:type="dxa"/>
              <w:left w:w="120" w:type="dxa"/>
              <w:bottom w:w="30" w:type="dxa"/>
              <w:right w:w="120" w:type="dxa"/>
            </w:tcMar>
            <w:vAlign w:val="center"/>
          </w:tcPr>
          <w:p w14:paraId="177D36E6">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5.18±2.04</w:t>
            </w:r>
          </w:p>
        </w:tc>
        <w:tc>
          <w:tcPr>
            <w:tcW w:w="2625" w:type="dxa"/>
            <w:tcBorders>
              <w:tl2br w:val="nil"/>
              <w:tr2bl w:val="nil"/>
            </w:tcBorders>
            <w:tcMar>
              <w:top w:w="60" w:type="dxa"/>
              <w:left w:w="120" w:type="dxa"/>
              <w:bottom w:w="30" w:type="dxa"/>
              <w:right w:w="120" w:type="dxa"/>
            </w:tcMar>
            <w:vAlign w:val="center"/>
          </w:tcPr>
          <w:p w14:paraId="4213B5F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-324.76±45.13</w:t>
            </w:r>
          </w:p>
        </w:tc>
      </w:tr>
      <w:tr w14:paraId="57610E8C">
        <w:tblPrEx>
          <w:tblW w:w="0" w:type="auto"/>
          <w:tblInd w:w="0" w:type="dxa"/>
          <w:tblLayout w:type="fixed"/>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56C84520">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t值</w:t>
            </w:r>
          </w:p>
        </w:tc>
        <w:tc>
          <w:tcPr>
            <w:tcW w:w="1215" w:type="dxa"/>
            <w:tcBorders>
              <w:tl2br w:val="nil"/>
              <w:tr2bl w:val="nil"/>
            </w:tcBorders>
            <w:tcMar>
              <w:top w:w="60" w:type="dxa"/>
              <w:left w:w="120" w:type="dxa"/>
              <w:bottom w:w="30" w:type="dxa"/>
              <w:right w:w="120" w:type="dxa"/>
            </w:tcMar>
            <w:vAlign w:val="center"/>
          </w:tcPr>
          <w:p w14:paraId="17BF3363">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w:t>
            </w:r>
          </w:p>
        </w:tc>
        <w:tc>
          <w:tcPr>
            <w:tcW w:w="2625" w:type="dxa"/>
            <w:tcBorders>
              <w:tl2br w:val="nil"/>
              <w:tr2bl w:val="nil"/>
            </w:tcBorders>
            <w:tcMar>
              <w:top w:w="60" w:type="dxa"/>
              <w:left w:w="120" w:type="dxa"/>
              <w:bottom w:w="30" w:type="dxa"/>
              <w:right w:w="120" w:type="dxa"/>
            </w:tcMar>
            <w:vAlign w:val="center"/>
          </w:tcPr>
          <w:p w14:paraId="786CB4E4">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14.082</w:t>
            </w:r>
          </w:p>
        </w:tc>
        <w:tc>
          <w:tcPr>
            <w:tcW w:w="2625" w:type="dxa"/>
            <w:tcBorders>
              <w:tl2br w:val="nil"/>
              <w:tr2bl w:val="nil"/>
            </w:tcBorders>
            <w:tcMar>
              <w:top w:w="60" w:type="dxa"/>
              <w:left w:w="120" w:type="dxa"/>
              <w:bottom w:w="30" w:type="dxa"/>
              <w:right w:w="120" w:type="dxa"/>
            </w:tcMar>
            <w:vAlign w:val="center"/>
          </w:tcPr>
          <w:p w14:paraId="3D87D034">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12.754</w:t>
            </w:r>
          </w:p>
        </w:tc>
      </w:tr>
      <w:tr w14:paraId="508CC4E1">
        <w:tblPrEx>
          <w:tblW w:w="0" w:type="auto"/>
          <w:tblInd w:w="0" w:type="dxa"/>
          <w:tblLayout w:type="fixed"/>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5D5909E4">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P值</w:t>
            </w:r>
          </w:p>
        </w:tc>
        <w:tc>
          <w:tcPr>
            <w:tcW w:w="1215" w:type="dxa"/>
            <w:tcBorders>
              <w:tl2br w:val="nil"/>
              <w:tr2bl w:val="nil"/>
            </w:tcBorders>
            <w:tcMar>
              <w:top w:w="60" w:type="dxa"/>
              <w:left w:w="120" w:type="dxa"/>
              <w:bottom w:w="30" w:type="dxa"/>
              <w:right w:w="120" w:type="dxa"/>
            </w:tcMar>
            <w:vAlign w:val="center"/>
          </w:tcPr>
          <w:p w14:paraId="5D6867A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w:t>
            </w:r>
          </w:p>
        </w:tc>
        <w:tc>
          <w:tcPr>
            <w:tcW w:w="2625" w:type="dxa"/>
            <w:tcBorders>
              <w:tl2br w:val="nil"/>
              <w:tr2bl w:val="nil"/>
            </w:tcBorders>
            <w:tcMar>
              <w:top w:w="60" w:type="dxa"/>
              <w:left w:w="120" w:type="dxa"/>
              <w:bottom w:w="30" w:type="dxa"/>
              <w:right w:w="120" w:type="dxa"/>
            </w:tcMar>
            <w:vAlign w:val="center"/>
          </w:tcPr>
          <w:p w14:paraId="1CF3476A">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＜0.001</w:t>
            </w:r>
          </w:p>
        </w:tc>
        <w:tc>
          <w:tcPr>
            <w:tcW w:w="2625" w:type="dxa"/>
            <w:tcBorders>
              <w:tl2br w:val="nil"/>
              <w:tr2bl w:val="nil"/>
            </w:tcBorders>
            <w:tcMar>
              <w:top w:w="60" w:type="dxa"/>
              <w:left w:w="120" w:type="dxa"/>
              <w:bottom w:w="30" w:type="dxa"/>
              <w:right w:w="120" w:type="dxa"/>
            </w:tcMar>
            <w:vAlign w:val="center"/>
          </w:tcPr>
          <w:p w14:paraId="465FEE4E">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＜0.001</w:t>
            </w:r>
          </w:p>
        </w:tc>
      </w:tr>
    </w:tbl>
    <w:p w14:paraId="5DE78A5A">
      <w:pPr>
        <w:keepNext w:val="0"/>
        <w:keepLines w:val="0"/>
        <w:pageBreakBefore w:val="0"/>
        <w:widowControl w:val="0"/>
        <w:kinsoku/>
        <w:wordWrap w:val="0"/>
        <w:overflowPunct/>
        <w:topLinePunct w:val="0"/>
        <w:autoSpaceDE/>
        <w:autoSpaceDN/>
        <w:bidi w:val="0"/>
        <w:adjustRightInd/>
        <w:snapToGrid/>
        <w:spacing w:line="360" w:lineRule="auto"/>
        <w:ind w:left="0"/>
        <w:jc w:val="left"/>
        <w:textAlignment w:val="auto"/>
        <w:outlineLvl w:val="0"/>
        <w:rPr>
          <w:rFonts w:ascii="宋体" w:eastAsia="宋体" w:hAnsi="宋体" w:cs="宋体" w:hint="eastAsia"/>
          <w:b/>
          <w:bCs w:val="0"/>
          <w:sz w:val="21"/>
          <w:szCs w:val="21"/>
        </w:rPr>
      </w:pPr>
      <w:bookmarkStart w:id="10" w:name="heading_12"/>
      <w:r>
        <w:rPr>
          <w:rFonts w:ascii="宋体" w:eastAsia="宋体" w:hAnsi="宋体" w:cs="宋体" w:hint="eastAsia"/>
          <w:b/>
          <w:bCs w:val="0"/>
          <w:sz w:val="21"/>
          <w:szCs w:val="21"/>
          <w:lang w:val="en-US" w:eastAsia="zh-CN"/>
        </w:rPr>
        <w:t>3</w:t>
      </w:r>
      <w:r>
        <w:rPr>
          <w:rFonts w:ascii="宋体" w:eastAsia="宋体" w:hAnsi="宋体" w:cs="宋体" w:hint="eastAsia"/>
          <w:b/>
          <w:bCs w:val="0"/>
          <w:sz w:val="21"/>
          <w:szCs w:val="21"/>
        </w:rPr>
        <w:t>讨论</w:t>
      </w:r>
      <w:bookmarkEnd w:id="10"/>
    </w:p>
    <w:p w14:paraId="72ED6B82">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该病患病率高，临床病程较长，常常累及多个系统，症状各异，早期诊断、规范治疗有助于改善患者的预后。目前临床上对本病的治疗手段种类繁多，不同的治疗方法作用的靶点、奇效的速度不同</w:t>
      </w:r>
      <w:r>
        <w:rPr>
          <w:rFonts w:ascii="宋体" w:eastAsia="宋体" w:hAnsi="宋体" w:cs="宋体" w:hint="eastAsia"/>
          <w:b w:val="0"/>
          <w:bCs/>
          <w:sz w:val="21"/>
          <w:szCs w:val="21"/>
          <w:lang w:val="en-US" w:eastAsia="zh-CN"/>
        </w:rPr>
        <w:t>，如何选</w:t>
      </w:r>
      <w:r>
        <w:rPr>
          <w:rFonts w:ascii="宋体" w:eastAsia="宋体" w:hAnsi="宋体" w:cs="宋体" w:hint="eastAsia"/>
          <w:b w:val="0"/>
          <w:bCs/>
          <w:sz w:val="21"/>
          <w:szCs w:val="21"/>
        </w:rPr>
        <w:t>择适合的干预措施，在临床日常诊疗工作中越来越被重视，并且需要依靠真实的病例数据来丰富临床证据</w:t>
      </w:r>
      <w:r>
        <w:rPr>
          <w:rFonts w:ascii="宋体" w:eastAsia="宋体" w:hAnsi="宋体" w:cs="宋体" w:hint="eastAsia"/>
          <w:b w:val="0"/>
          <w:bCs/>
          <w:sz w:val="21"/>
          <w:szCs w:val="21"/>
          <w:vertAlign w:val="superscript"/>
          <w:lang w:val="en-US" w:eastAsia="zh-CN"/>
        </w:rPr>
        <w:t>[4]</w:t>
      </w:r>
      <w:r>
        <w:rPr>
          <w:rFonts w:ascii="宋体" w:eastAsia="宋体" w:hAnsi="宋体" w:cs="宋体" w:hint="eastAsia"/>
          <w:b w:val="0"/>
          <w:bCs/>
          <w:sz w:val="21"/>
          <w:szCs w:val="21"/>
        </w:rPr>
        <w:t>。</w:t>
      </w:r>
    </w:p>
    <w:p w14:paraId="735A9EBF">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干预方案操作简便，患者自身基础状况限制小，安全性高，但是只能对某一方面进行调节，不能对各种异常表现做全面的调节。对照组临床应用时间较长，疗效有目共睹，但是实施难度大，部分病人不能耐受，基层推广有局限性，两种方法适合不同的病人</w:t>
      </w:r>
      <w:r>
        <w:rPr>
          <w:rFonts w:ascii="宋体" w:eastAsia="宋体" w:hAnsi="宋体" w:cs="宋体" w:hint="eastAsia"/>
          <w:b w:val="0"/>
          <w:bCs/>
          <w:sz w:val="21"/>
          <w:szCs w:val="21"/>
          <w:vertAlign w:val="superscript"/>
          <w:lang w:val="en-US" w:eastAsia="zh-CN"/>
        </w:rPr>
        <w:t>[5]</w:t>
      </w:r>
      <w:r>
        <w:rPr>
          <w:rFonts w:ascii="宋体" w:eastAsia="宋体" w:hAnsi="宋体" w:cs="宋体" w:hint="eastAsia"/>
          <w:b w:val="0"/>
          <w:bCs/>
          <w:sz w:val="21"/>
          <w:szCs w:val="21"/>
        </w:rPr>
        <w:t>。</w:t>
      </w:r>
      <w:bookmarkStart w:id="11" w:name="_GoBack"/>
      <w:bookmarkEnd w:id="11"/>
    </w:p>
    <w:p w14:paraId="2393B777">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从结果中可以看出干预后研究组整体改善趋势好于对照组，说明本研究所选的干预方法更符合该类患者临床需求，可以较稳定的改善核心相关指标，减轻主要不适症状，组间差异说明该方案具有积极的干预效果，干预时间及实施次数选择与疾病恢复的规律相匹配，在一定范围内可以得到较好的综合效果。</w:t>
      </w:r>
    </w:p>
    <w:p w14:paraId="653AA284">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本研究所用的干预方案对本病有较好的临床疗效，有较好的临床应用价值。</w:t>
      </w:r>
    </w:p>
    <w:p w14:paraId="6CC6673E">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lang w:val="en-US" w:eastAsia="zh-CN"/>
        </w:rPr>
      </w:pPr>
      <w:r>
        <w:rPr>
          <w:rFonts w:ascii="宋体" w:eastAsia="宋体" w:hAnsi="宋体" w:cs="宋体" w:hint="eastAsia"/>
          <w:b w:val="0"/>
          <w:bCs/>
          <w:sz w:val="21"/>
          <w:szCs w:val="21"/>
          <w:lang w:val="en-US" w:eastAsia="zh-CN"/>
        </w:rPr>
        <w:t>参考文献：</w:t>
      </w:r>
    </w:p>
    <w:p w14:paraId="6A985A9D">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宋体" w:eastAsia="宋体" w:hAnsi="宋体" w:cs="宋体" w:hint="eastAsia"/>
          <w:b w:val="0"/>
          <w:bCs/>
          <w:sz w:val="21"/>
          <w:szCs w:val="21"/>
          <w:lang w:val="en-US" w:eastAsia="zh-CN"/>
        </w:rPr>
      </w:pPr>
      <w:r>
        <w:rPr>
          <w:rFonts w:ascii="宋体" w:eastAsia="宋体" w:hAnsi="宋体" w:cs="宋体" w:hint="eastAsia"/>
          <w:b w:val="0"/>
          <w:bCs/>
          <w:sz w:val="21"/>
          <w:szCs w:val="21"/>
          <w:lang w:val="en-US" w:eastAsia="zh-CN"/>
        </w:rPr>
        <w:t>[1]苏丹,姜普生,吴海涛,等. 儿童重症肺炎支原体肺炎相关危险因素分析 [J]. 中外医药研究, 2025, 4 (26): 47-49.</w:t>
      </w:r>
    </w:p>
    <w:p w14:paraId="458492ED">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宋体" w:eastAsia="宋体" w:hAnsi="宋体" w:cs="宋体" w:hint="eastAsia"/>
          <w:b w:val="0"/>
          <w:bCs/>
          <w:sz w:val="21"/>
          <w:szCs w:val="21"/>
          <w:lang w:val="en-US" w:eastAsia="zh-CN"/>
        </w:rPr>
      </w:pPr>
      <w:r>
        <w:rPr>
          <w:rFonts w:ascii="宋体" w:eastAsia="宋体" w:hAnsi="宋体" w:cs="宋体" w:hint="eastAsia"/>
          <w:b w:val="0"/>
          <w:bCs/>
          <w:sz w:val="21"/>
          <w:szCs w:val="21"/>
          <w:lang w:val="en-US" w:eastAsia="zh-CN"/>
        </w:rPr>
        <w:t>[2]王倩倩,柴红丽,陈长春. 胸部CT定量分析在儿童难治性支原体肺炎预测中的应用价值 [J]. 影像研究与医学应用, 2025, 9 (18): 173-175.</w:t>
      </w:r>
    </w:p>
    <w:p w14:paraId="6CABB6D1">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宋体" w:eastAsia="宋体" w:hAnsi="宋体" w:cs="宋体" w:hint="eastAsia"/>
          <w:b w:val="0"/>
          <w:bCs/>
          <w:sz w:val="21"/>
          <w:szCs w:val="21"/>
          <w:lang w:val="en-US" w:eastAsia="zh-CN"/>
        </w:rPr>
      </w:pPr>
      <w:r>
        <w:rPr>
          <w:rFonts w:ascii="宋体" w:eastAsia="宋体" w:hAnsi="宋体" w:cs="宋体" w:hint="eastAsia"/>
          <w:b w:val="0"/>
          <w:bCs/>
          <w:sz w:val="21"/>
          <w:szCs w:val="21"/>
          <w:lang w:val="en-US" w:eastAsia="zh-CN"/>
        </w:rPr>
        <w:t xml:space="preserve">[3]杜丹丹,丁雪璐,彭峰,等. 定量CT对难治性肺炎支原体肺炎的预测价值 [J]. 影像研究与医学应用, 2025, 9 (7): 38-40. </w:t>
      </w:r>
    </w:p>
    <w:p w14:paraId="6D44125F">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宋体" w:eastAsia="宋体" w:hAnsi="宋体" w:cs="宋体" w:hint="eastAsia"/>
          <w:b w:val="0"/>
          <w:bCs/>
          <w:sz w:val="21"/>
          <w:szCs w:val="21"/>
          <w:lang w:val="en-US" w:eastAsia="zh-CN"/>
        </w:rPr>
      </w:pPr>
      <w:r>
        <w:rPr>
          <w:rFonts w:ascii="宋体" w:eastAsia="宋体" w:hAnsi="宋体" w:cs="宋体" w:hint="eastAsia"/>
          <w:b w:val="0"/>
          <w:bCs/>
          <w:sz w:val="21"/>
          <w:szCs w:val="21"/>
          <w:lang w:val="en-US" w:eastAsia="zh-CN"/>
        </w:rPr>
        <w:t>[4]张琳清,呼甜,何思怡,等. 基于定量CT对难治型支原体肺炎ANN模型的构建 [J]. 影像科学与光化学, 2024, 42 (4): 371-377.</w:t>
      </w:r>
    </w:p>
    <w:p w14:paraId="08C7E3DA">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宋体" w:eastAsia="宋体" w:hAnsi="宋体" w:cs="宋体" w:hint="eastAsia"/>
          <w:b w:val="0"/>
          <w:bCs/>
          <w:sz w:val="21"/>
          <w:szCs w:val="21"/>
          <w:lang w:val="en-US" w:eastAsia="zh-CN"/>
        </w:rPr>
      </w:pPr>
      <w:r>
        <w:rPr>
          <w:rFonts w:ascii="宋体" w:eastAsia="宋体" w:hAnsi="宋体" w:cs="宋体" w:hint="eastAsia"/>
          <w:b w:val="0"/>
          <w:bCs/>
          <w:sz w:val="21"/>
          <w:szCs w:val="21"/>
          <w:lang w:val="en-US" w:eastAsia="zh-CN"/>
        </w:rPr>
        <w:t>[5]谢利娜,冯特,郭燕军,等. 难治性肺炎支原体肺炎患儿合并栓塞的危险因素分析及列线图预测模型的构建 [J]. 中国当代儿科杂志, 2024, 26 (5): 486-492.</w:t>
      </w:r>
    </w:p>
    <w:sectPr>
      <w:headerReference w:type="default" r:id="rId8"/>
      <w:footerReference w:type="default" r:id="rId9"/>
      <w:pgSz w:w="11905" w:h="16840"/>
      <w:pgMar w:header="708" w:footer="708"/>
      <w:pgBorders>
        <w:top w:val="none" w:sz="0" w:space="0" w:color="auto"/>
        <w:left w:val="none" w:sz="0" w:space="0" w:color="auto"/>
        <w:bottom w:val="none" w:sz="0" w:space="0" w:color="auto"/>
        <w:right w:val="none" w:sz="0" w:space="0" w:color="auto"/>
      </w:pgBorders>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3AB1244"/>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6AF512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splitPgBreakAndParaMark/>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9365CC"/>
    <w:rsid w:val="175066CC"/>
    <w:rsid w:val="2B0C2313"/>
    <w:rsid w:val="6FFD22F7"/>
    <w:rsid w:val="720B5967"/>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sz w:val="21"/>
      <w:szCs w:val="2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wmf" /><Relationship Id="rId5" Type="http://schemas.openxmlformats.org/officeDocument/2006/relationships/oleObject" Target="embeddings/oleObject1.bin" /><Relationship Id="rId6" Type="http://schemas.openxmlformats.org/officeDocument/2006/relationships/oleObject" Target="embeddings/oleObject2.bin" /><Relationship Id="rId7" Type="http://schemas.openxmlformats.org/officeDocument/2006/relationships/oleObject" Target="embeddings/oleObject3.bin"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4</Pages>
  <Words>2766</Words>
  <Characters>3322</Characters>
  <Application>Microsoft Office Word</Application>
  <DocSecurity>0</DocSecurity>
  <Lines>0</Lines>
  <Paragraphs>0</Paragraphs>
  <ScaleCrop>false</ScaleCrop>
  <Company/>
  <LinksUpToDate>false</LinksUpToDate>
  <CharactersWithSpaces>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初展</cp:lastModifiedBy>
  <cp:revision>0</cp:revision>
  <dcterms:created xsi:type="dcterms:W3CDTF">2026-10-29T08:02:00Z</dcterms:created>
  <dcterms:modified xsi:type="dcterms:W3CDTF">2026-10-29T10:25:12Z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{"Label":"1","ContentProducer":"001191110102MACQD9K64010000","ProduceID":"7701997182090628335","ReservedCode1":"","ContentPropagator":"","PropagateID":"","ReservedCode2":""}</vt:lpwstr>
  </property>
  <property fmtid="{D5CDD505-2E9C-101B-9397-08002B2CF9AE}" pid="3" name="ICV">
    <vt:lpwstr>FB1311CE521143928F12ED681CB8E059_12</vt:lpwstr>
  </property>
  <property fmtid="{D5CDD505-2E9C-101B-9397-08002B2CF9AE}" pid="4" name="KSOProductBuildVer">
    <vt:lpwstr>2052-12.1.0.29161</vt:lpwstr>
  </property>
  <property fmtid="{D5CDD505-2E9C-101B-9397-08002B2CF9AE}" pid="5" name="KSOTemplateDocerSaveRecord">
    <vt:lpwstr>eyJoZGlkIjoiMDFiMTczNzEzMjM2YjdmMmQ2MzM3ZDU4MmZjYzdlNDQiLCJ1c2VySWQiOiI1ODIxNTk5MDgifQ==</vt:lpwstr>
  </property>
</Properties>
</file>