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28D2EC4">
      <w:pPr>
        <w:jc w:val="center"/>
        <w:rPr>
          <w:rFonts w:hint="eastAsia"/>
        </w:rPr>
      </w:pPr>
      <w:r>
        <w:rPr>
          <w:rFonts w:hint="eastAsia"/>
        </w:rPr>
        <w:t>软土地区深基坑施工风险评估及动态预警技术应用</w:t>
      </w:r>
    </w:p>
    <w:p w14:paraId="364EBC5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6000字，先不要使用AI报告，注意知网普通查重不能是0，有附件的是提纲和资料，普刊。</w:t>
      </w:r>
    </w:p>
    <w:p w14:paraId="0E79645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0BC20B1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软土地区深基坑施工受高含水量、高压缩性软土和浅埋承压水的影响，风险随着开挖的进行不断变化。以宁波市镇海区某产业园区深基坑工程为背景，使用WBS-RBS方法来识别风险源，建立以贝叶斯网络为基础的动态风险评价模型，并结合监测数据实时更新风险等级，以累计值和变形速率双控制分级预警方式为基础，用BIM整合多个监测源数据来建立识别、评价、预警、应对的闭环。经过工程实践证明，体系对软土基坑风险控制能起到较好的效果，而且有较好的推广价值。</w:t>
      </w:r>
    </w:p>
    <w:p w14:paraId="1CD2787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关键词：软土深基坑；风险评估；贝叶斯网络；动态预警；双控阈值</w:t>
      </w:r>
    </w:p>
    <w:p w14:paraId="254E98C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软土地区基坑工程是城市地下空间开发中高危作业、事故多发的部位。软土含水率高、孔隙比大、抗剪强度小、灵敏度高、具有很强的触变性和流变性，基坑开挖造成卸荷、降水时，一般都会导致围护结构发生较大变形、坑底隆起、流砂涌出和周边环境沉降连锁风险。传统的用静态评价和经验阈值控制的方式不能很好地体现风险随着时间推移而变化的动态变化，有预警滞后的问题。因此以宁波市镇海区某产业园区深基坑工程为背景，从风险识别、动态评价、分级预警、防控闭环的思路出发，建立软土深基坑施工风险评估及动态预警技术体系，分析软土基坑适用条件及运行机制，给类似工程提供风险管控的参考。</w:t>
      </w:r>
    </w:p>
    <w:p w14:paraId="01F835D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1 工程地质背景与工程概况 </w:t>
      </w:r>
    </w:p>
    <w:p w14:paraId="2FE9EE6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1.1 工程概况</w:t>
      </w:r>
    </w:p>
    <w:p w14:paraId="171EC11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拟建工程位于宁波市镇海区的产业园区内，总占地面积约为9.45万平方米，总建筑面积约29.27万平方米，地下建筑面积约为4.96万平方米，由17栋产业用房和综合配套楼组成，全部设1层地下室，底板埋深为4.5米到5.5米，基坑开挖深度一般在7米到9米左右。场地西边是耕渔路、南边是永茂东路，距离道路约15-25m。按照浙江省《建筑基坑工程技术规程》（DB33/T 1096-2014），本基坑的安全等级为二级，必须做支护及系统观测。本工程共布置勘探孔184个，给风险评价地层条件给予了支持。</w:t>
      </w:r>
    </w:p>
    <w:p w14:paraId="7C333B0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1.2 场地工程地质条件</w:t>
      </w:r>
    </w:p>
    <w:p w14:paraId="4078497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场地是海积、冲海积平原地貌，第四系覆盖层厚度大于80米，经勘察共发现工程地质层组7个、亚层14个。表部1-1层杂填土厚度为0.3-2.5m，土质杂乱，最大粒径大于10cm，场地北部、东南部有暗塘、暗浜。下面的第二层为淤泥质黏土全层，厚度6.8～11.4m，呈灰色流塑饱和状，含水量51.7%，孔隙比1.468，压缩模量为2.41MPa，快剪试验时的抗剪强度c=7.3kPa，φ=2.1°，承载力特征值为50kPa，具有高压缩性、高灵敏度以及明显的触变、流变性，是开挖影响范围内主要的软弱地层。场地等效剪切波速127.4m/s，覆盖层大于80m，属Ⅳ类场地、建筑抗震不利地段。下部三层粉砂及5-1层砂质粉土、6层中砂中密至密实为基坑底和桩基持力层。</w:t>
      </w:r>
    </w:p>
    <w:p w14:paraId="2DD7B5F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1.3 水文地质条件</w:t>
      </w:r>
    </w:p>
    <w:p w14:paraId="6FA4D25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场地地下水分为孔隙潜水和承压水两种。孔隙潜水存在于上部杂填土和黏性土中，实测水位埋深0.5～2.0m，年变幅1.0～1.5m，是基坑开挖的主要补给水源。浅部承压水在第三层粉砂中存在，渗透系数2.0×10⁻³～4.4×10⁻³cm/s，静止水位埋深0.95m，单井出水量约90～141m³/d，深部承压水在第五层及第六层砂土中存在。按照坑底标高-5.5m、3-1层顶板-7.48m、承压水头0.95m计算抗渗流稳定性系数小于1.1，基坑开挖时有坑底突涌的风险，需要降水和止水。</w:t>
      </w:r>
    </w:p>
    <w:p w14:paraId="22F60A1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1.4 软土基坑主要工程难点</w:t>
      </w:r>
    </w:p>
    <w:p w14:paraId="45016CE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本工程主要存在四个难点，即厚层软土强度低、流变性高，支护变形和坑底隆起有明显的时空效应，浅埋承压水和潜水叠加，突涌、流砂、渗漏的危险同时存在，杂填土与暗塘暗浜分布不均，成孔塌孔、围护渗漏的危险点多，坑边临近道路和管线，变形控制标准高。</w:t>
      </w:r>
    </w:p>
    <w:p w14:paraId="0320527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2 软土地区深基坑施工风险特征及风险源识别 </w:t>
      </w:r>
    </w:p>
    <w:p w14:paraId="6B42BCD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2.1 软土基坑风险基本特征</w:t>
      </w:r>
    </w:p>
    <w:p w14:paraId="74FF348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根据场地情况软土基坑施工风险具有四个特点。动态的，风险随着开挖深度、暴露时间以及支护受力情况的变化而变化，卸荷速度和暴露时间一起决定变形的发展。三是耦合，水、土、支护、环境几个因素互相影响，降水不好就会造成坑底突涌和地面沉降，围护渗漏也会加重软土的强度衰减。三是突变，软土经由流变累积之后，变形一般会先缓慢增长，然后突然加快，最后出现急剧变化，预警时间很短。四是不确定性，由于软土参数存在较大差异，在取样过程中会低估软土的灵敏度，缺少足够的监测数据的时候，对于风险的判断就会有较大的误差。软土受扰动之后强度会明显降低，卸荷、降水及机械振动都会造成软土强度的衰减，使风险状态短时间内发生改变。由此可知，由于软土基坑施工具有复杂性和多变性，不能采用静态的一次性风险评价方法，必须建立能够随着施工进度更新的动态评价和预警体系。</w:t>
      </w:r>
    </w:p>
    <w:p w14:paraId="6F74C62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2.2 基于WBS-RBS的风险源识别</w:t>
      </w:r>
    </w:p>
    <w:p w14:paraId="576257C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周红波等人认为基坑工程环境复杂、影响因素多，采用基于故障树分析结合工作分解结构和风险分解结构的方法来开展风险识别工作，并使用WBS-RBS将基坑工程的工作分解结构和风险源分解结构耦合判断并给出相应的风险因素或者风险事件</w:t>
      </w:r>
      <w:r>
        <w:rPr>
          <w:rFonts w:hint="eastAsia"/>
          <w:vertAlign w:val="superscript"/>
        </w:rPr>
        <w:t>[1]</w:t>
      </w:r>
      <w:r>
        <w:rPr>
          <w:rFonts w:hint="eastAsia"/>
        </w:rPr>
        <w:t>。本文使用该方法将基坑施工全过程分成围护结构施工、降水、土方开挖、支撑安装及拆除、底板浇筑及回填工作单元，将风险按地质、水文、支护结构、施工管理、周边环境五类逐级分解，并建立WBS-RBS耦合矩阵，对各个工作单元和风险要素之间的关系进行逐一判断，去除关联性低、影响小的组合，保留风险清单约20个作为指标体系的输入。经由识别可知，本工程的风险源有六个方面，分别是由于杂填土、暗塘暗浜造成的成孔塌孔和渗漏，由于淤泥质黏土造成的支护变形超限、坑底隆起和边坡失稳，由于承压水造成的坑底突涌和流砂，由于降水造成的地面沉降、管线变形，由于支撑失稳和拆撑不当造成的风险，由于监测失效和管理缺位造成的风险，其中前四项是原生的技术风险，后两项是派生的风险，两者叠加起来就是风险源的主要构成。</w:t>
      </w:r>
    </w:p>
    <w:p w14:paraId="003C2D54">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表1 软土基坑主要风险源识别结果</w:t>
      </w:r>
    </w:p>
    <w:tbl>
      <w:tblPr>
        <w:tblStyle w:val="TableNormal"/>
        <w:tblW w:w="0" w:type="auto"/>
        <w:jc w:val="center"/>
        <w:tblBorders>
          <w:top w:val="single" w:sz="8" w:space="0" w:color="000000"/>
          <w:left w:val="none" w:sz="0" w:space="0" w:color="auto"/>
          <w:bottom w:val="single" w:sz="8" w:space="0" w:color="000000"/>
          <w:right w:val="none" w:sz="0" w:space="0" w:color="auto"/>
          <w:insideH w:val="none" w:sz="0" w:space="0" w:color="auto"/>
          <w:insideV w:val="none" w:sz="0" w:space="0" w:color="auto"/>
        </w:tblBorders>
        <w:tblCellMar>
          <w:top w:w="0" w:type="dxa"/>
          <w:left w:w="108" w:type="dxa"/>
          <w:bottom w:w="0" w:type="dxa"/>
          <w:right w:w="108" w:type="dxa"/>
        </w:tblCellMar>
      </w:tblPr>
      <w:tblGrid>
        <w:gridCol w:w="1356"/>
        <w:gridCol w:w="2846"/>
        <w:gridCol w:w="2846"/>
      </w:tblGrid>
      <w:tr w14:paraId="47F2E740">
        <w:tblPrEx>
          <w:tblW w:w="0" w:type="auto"/>
          <w:jc w:val="center"/>
          <w:tblBorders>
            <w:top w:val="single" w:sz="8" w:space="0" w:color="000000"/>
            <w:left w:val="none" w:sz="0" w:space="0" w:color="auto"/>
            <w:bottom w:val="single" w:sz="8" w:space="0" w:color="000000"/>
            <w:right w:val="none" w:sz="0" w:space="0" w:color="auto"/>
            <w:insideH w:val="none" w:sz="0" w:space="0" w:color="auto"/>
            <w:insideV w:val="none" w:sz="0" w:space="0" w:color="auto"/>
          </w:tblBorders>
          <w:tblCellMar>
            <w:top w:w="0" w:type="dxa"/>
            <w:left w:w="108" w:type="dxa"/>
            <w:bottom w:w="0" w:type="dxa"/>
            <w:right w:w="108" w:type="dxa"/>
          </w:tblCellMar>
        </w:tblPrEx>
        <w:trPr>
          <w:cantSplit/>
          <w:tblHeader/>
          <w:jc w:val="center"/>
        </w:trPr>
        <w:tc>
          <w:tcPr>
            <w:tcW w:w="1356" w:type="dxa"/>
            <w:tcBorders>
              <w:bottom w:val="single" w:sz="4" w:space="0" w:color="000000"/>
            </w:tcBorders>
            <w:vAlign w:val="center"/>
          </w:tcPr>
          <w:p w14:paraId="2299DA00">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风险类型</w:t>
            </w:r>
          </w:p>
        </w:tc>
        <w:tc>
          <w:tcPr>
            <w:tcW w:w="2846" w:type="dxa"/>
            <w:tcBorders>
              <w:bottom w:val="single" w:sz="4" w:space="0" w:color="000000"/>
            </w:tcBorders>
            <w:vAlign w:val="center"/>
          </w:tcPr>
          <w:p w14:paraId="3B43B622">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主要风险源</w:t>
            </w:r>
          </w:p>
        </w:tc>
        <w:tc>
          <w:tcPr>
            <w:tcW w:w="2846" w:type="dxa"/>
            <w:tcBorders>
              <w:bottom w:val="single" w:sz="4" w:space="0" w:color="000000"/>
            </w:tcBorders>
            <w:vAlign w:val="center"/>
          </w:tcPr>
          <w:p w14:paraId="3D991478">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可能后果</w:t>
            </w:r>
          </w:p>
        </w:tc>
      </w:tr>
      <w:tr w14:paraId="1675C3FA">
        <w:tblPrEx>
          <w:tblW w:w="0" w:type="auto"/>
          <w:jc w:val="center"/>
          <w:tblCellMar>
            <w:top w:w="0" w:type="dxa"/>
            <w:left w:w="108" w:type="dxa"/>
            <w:bottom w:w="0" w:type="dxa"/>
            <w:right w:w="108" w:type="dxa"/>
          </w:tblCellMar>
        </w:tblPrEx>
        <w:trPr>
          <w:cantSplit/>
          <w:jc w:val="center"/>
        </w:trPr>
        <w:tc>
          <w:tcPr>
            <w:tcW w:w="1356" w:type="dxa"/>
            <w:vAlign w:val="center"/>
          </w:tcPr>
          <w:p w14:paraId="6477984F">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地质风险</w:t>
            </w:r>
          </w:p>
        </w:tc>
        <w:tc>
          <w:tcPr>
            <w:tcW w:w="2846" w:type="dxa"/>
            <w:vAlign w:val="center"/>
          </w:tcPr>
          <w:p w14:paraId="6B40A89C">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杂填土、暗塘暗浜分布不均</w:t>
            </w:r>
          </w:p>
        </w:tc>
        <w:tc>
          <w:tcPr>
            <w:tcW w:w="2846" w:type="dxa"/>
            <w:vAlign w:val="center"/>
          </w:tcPr>
          <w:p w14:paraId="546D0812">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成孔塌孔、围护渗漏</w:t>
            </w:r>
          </w:p>
        </w:tc>
      </w:tr>
      <w:tr w14:paraId="589D6606">
        <w:tblPrEx>
          <w:tblW w:w="0" w:type="auto"/>
          <w:jc w:val="center"/>
          <w:tblCellMar>
            <w:top w:w="0" w:type="dxa"/>
            <w:left w:w="108" w:type="dxa"/>
            <w:bottom w:w="0" w:type="dxa"/>
            <w:right w:w="108" w:type="dxa"/>
          </w:tblCellMar>
        </w:tblPrEx>
        <w:trPr>
          <w:cantSplit/>
          <w:jc w:val="center"/>
        </w:trPr>
        <w:tc>
          <w:tcPr>
            <w:tcW w:w="1356" w:type="dxa"/>
            <w:vAlign w:val="center"/>
          </w:tcPr>
          <w:p w14:paraId="7D17330B">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地质风险</w:t>
            </w:r>
          </w:p>
        </w:tc>
        <w:tc>
          <w:tcPr>
            <w:tcW w:w="2846" w:type="dxa"/>
            <w:vAlign w:val="center"/>
          </w:tcPr>
          <w:p w14:paraId="6942C2B9">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厚层淤泥质黏土</w:t>
            </w:r>
          </w:p>
        </w:tc>
        <w:tc>
          <w:tcPr>
            <w:tcW w:w="2846" w:type="dxa"/>
            <w:vAlign w:val="center"/>
          </w:tcPr>
          <w:p w14:paraId="5AF39786">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支护变形超限、坑底隆起</w:t>
            </w:r>
          </w:p>
        </w:tc>
      </w:tr>
      <w:tr w14:paraId="0E57626D">
        <w:tblPrEx>
          <w:tblW w:w="0" w:type="auto"/>
          <w:jc w:val="center"/>
          <w:tblCellMar>
            <w:top w:w="0" w:type="dxa"/>
            <w:left w:w="108" w:type="dxa"/>
            <w:bottom w:w="0" w:type="dxa"/>
            <w:right w:w="108" w:type="dxa"/>
          </w:tblCellMar>
        </w:tblPrEx>
        <w:trPr>
          <w:cantSplit/>
          <w:jc w:val="center"/>
        </w:trPr>
        <w:tc>
          <w:tcPr>
            <w:tcW w:w="1356" w:type="dxa"/>
            <w:vAlign w:val="center"/>
          </w:tcPr>
          <w:p w14:paraId="370FEAFF">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水文风险</w:t>
            </w:r>
          </w:p>
        </w:tc>
        <w:tc>
          <w:tcPr>
            <w:tcW w:w="2846" w:type="dxa"/>
            <w:vAlign w:val="center"/>
          </w:tcPr>
          <w:p w14:paraId="6537AF44">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浅埋承压水</w:t>
            </w:r>
          </w:p>
        </w:tc>
        <w:tc>
          <w:tcPr>
            <w:tcW w:w="2846" w:type="dxa"/>
            <w:vAlign w:val="center"/>
          </w:tcPr>
          <w:p w14:paraId="1C5415EB">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坑底突涌、流砂</w:t>
            </w:r>
          </w:p>
        </w:tc>
      </w:tr>
      <w:tr w14:paraId="753F6B46">
        <w:tblPrEx>
          <w:tblW w:w="0" w:type="auto"/>
          <w:jc w:val="center"/>
          <w:tblCellMar>
            <w:top w:w="0" w:type="dxa"/>
            <w:left w:w="108" w:type="dxa"/>
            <w:bottom w:w="0" w:type="dxa"/>
            <w:right w:w="108" w:type="dxa"/>
          </w:tblCellMar>
        </w:tblPrEx>
        <w:trPr>
          <w:cantSplit/>
          <w:jc w:val="center"/>
        </w:trPr>
        <w:tc>
          <w:tcPr>
            <w:tcW w:w="1356" w:type="dxa"/>
            <w:vAlign w:val="center"/>
          </w:tcPr>
          <w:p w14:paraId="6E07B573">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水文风险</w:t>
            </w:r>
          </w:p>
        </w:tc>
        <w:tc>
          <w:tcPr>
            <w:tcW w:w="2846" w:type="dxa"/>
            <w:vAlign w:val="center"/>
          </w:tcPr>
          <w:p w14:paraId="53FB7114">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潜水补给与施工降水</w:t>
            </w:r>
          </w:p>
        </w:tc>
        <w:tc>
          <w:tcPr>
            <w:tcW w:w="2846" w:type="dxa"/>
            <w:vAlign w:val="center"/>
          </w:tcPr>
          <w:p w14:paraId="10350D11">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地面沉降、管线变形</w:t>
            </w:r>
          </w:p>
        </w:tc>
      </w:tr>
      <w:tr w14:paraId="7231D3B6">
        <w:tblPrEx>
          <w:tblW w:w="0" w:type="auto"/>
          <w:jc w:val="center"/>
          <w:tblCellMar>
            <w:top w:w="0" w:type="dxa"/>
            <w:left w:w="108" w:type="dxa"/>
            <w:bottom w:w="0" w:type="dxa"/>
            <w:right w:w="108" w:type="dxa"/>
          </w:tblCellMar>
        </w:tblPrEx>
        <w:trPr>
          <w:cantSplit/>
          <w:jc w:val="center"/>
        </w:trPr>
        <w:tc>
          <w:tcPr>
            <w:tcW w:w="1356" w:type="dxa"/>
            <w:vAlign w:val="center"/>
          </w:tcPr>
          <w:p w14:paraId="4A43064B">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结构风险</w:t>
            </w:r>
          </w:p>
        </w:tc>
        <w:tc>
          <w:tcPr>
            <w:tcW w:w="2846" w:type="dxa"/>
            <w:vAlign w:val="center"/>
          </w:tcPr>
          <w:p w14:paraId="2F6F8393">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支撑体系与拆撑不当</w:t>
            </w:r>
          </w:p>
        </w:tc>
        <w:tc>
          <w:tcPr>
            <w:tcW w:w="2846" w:type="dxa"/>
            <w:vAlign w:val="center"/>
          </w:tcPr>
          <w:p w14:paraId="1F979403">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支撑失稳、围护破坏</w:t>
            </w:r>
          </w:p>
        </w:tc>
      </w:tr>
      <w:tr w14:paraId="0EA44C34">
        <w:tblPrEx>
          <w:tblW w:w="0" w:type="auto"/>
          <w:jc w:val="center"/>
          <w:tblCellMar>
            <w:top w:w="0" w:type="dxa"/>
            <w:left w:w="108" w:type="dxa"/>
            <w:bottom w:w="0" w:type="dxa"/>
            <w:right w:w="108" w:type="dxa"/>
          </w:tblCellMar>
        </w:tblPrEx>
        <w:trPr>
          <w:cantSplit/>
          <w:jc w:val="center"/>
        </w:trPr>
        <w:tc>
          <w:tcPr>
            <w:tcW w:w="1356" w:type="dxa"/>
            <w:vAlign w:val="center"/>
          </w:tcPr>
          <w:p w14:paraId="03B1B159">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管理风险</w:t>
            </w:r>
          </w:p>
        </w:tc>
        <w:tc>
          <w:tcPr>
            <w:tcW w:w="2846" w:type="dxa"/>
            <w:vAlign w:val="center"/>
          </w:tcPr>
          <w:p w14:paraId="4D609759">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监测失效、制度缺位</w:t>
            </w:r>
          </w:p>
        </w:tc>
        <w:tc>
          <w:tcPr>
            <w:tcW w:w="2846" w:type="dxa"/>
            <w:vAlign w:val="center"/>
          </w:tcPr>
          <w:p w14:paraId="5694120B">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预警漏报、响应滞后</w:t>
            </w:r>
          </w:p>
        </w:tc>
      </w:tr>
    </w:tbl>
    <w:p w14:paraId="784CA0F2">
      <w:pPr>
        <w:keepNext w:val="0"/>
        <w:keepLines w:val="0"/>
        <w:pageBreakBefore w:val="0"/>
        <w:widowControl w:val="0"/>
        <w:kinsoku/>
        <w:wordWrap/>
        <w:overflowPunct/>
        <w:topLinePunct w:val="0"/>
        <w:autoSpaceDE/>
        <w:autoSpaceDN/>
        <w:bidi w:val="0"/>
        <w:adjustRightInd/>
        <w:snapToGrid/>
        <w:jc w:val="both"/>
        <w:textAlignment w:val="auto"/>
        <w:rPr>
          <w:rFonts w:hint="eastAsia"/>
        </w:rPr>
      </w:pPr>
    </w:p>
    <w:p w14:paraId="7A288A2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3 软土深基坑施工动态风险评估体系构建 </w:t>
      </w:r>
    </w:p>
    <w:p w14:paraId="7520C41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3.1 风险评估指标体系</w:t>
      </w:r>
    </w:p>
    <w:p w14:paraId="54CF3CA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在风险源识别的基础上建立三个层次的指标体系，分别是目标层、准则层和指标层。目标层是基坑施工综合风险，准则层有围护结构风险、坑底稳定性风险、周边环境风险和施工管理风险四个准则层，指标层选用可以测量、可以观察、可以更新的量化指标，有围护墙顶水平位移、深层水平位移、支撑轴力、坑底隆起量、地下水位、周边地表沉降、管线变形、监测数据完整性等。各项指标按照正常、注意、警戒、危险四个等级进行划分，根据监测值、变形速度的发展趋势以及变化趋势进行综合判定，指标权重及状态阈值根据勘察资料、规范要求、地区经验确定，根据监测反馈不断调整。指标体系重视动态性，把施工阶段变化的因素加入到节点输入当中，给贝叶斯网络模型赋予条件支持。</w:t>
      </w:r>
    </w:p>
    <w:p w14:paraId="5C1B45C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3.2 基于贝叶斯网络的动态风险评估模型</w:t>
      </w:r>
    </w:p>
    <w:p w14:paraId="2D47C70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贝叶斯网络用有向无环图的形式来表示风险因素间的因果关系，用条件概率表来量化不确定性，可以利用监测证据对风险进行正向预测和反向诊断。卢鑫月等人提出在施工过程风险随时间变化的情况下，利用动态贝叶斯网络以及模糊综合评价法对施工动态风险进行评估的方法，选取施工环境、施工技术、施工机械、施工管理等施工风险因素和施工风险之间的因果关系建立DBN模型，完成施工全过程风险的实时动态评价[2]。本文参考该思路将基坑风险模型划分为连续的时间片，上一个时段风险的状态是先验，当前时段的监测证据是观测，用时间转移概率描述风险的变化过程，用正演预测未来时段风险的高低，用反演诊断倒推诱发事故的主要致险原因，给处置决策指引方向。模型以围护渗漏、坑底突涌、周边沉降为主链设置节点，围护变形速率、渗漏量、水位变化、坑底隆起到叶节点。每一个新的监测数据到来的时候，就用贝叶斯公式对各个节点的后验概率进行修正，达到滚动更新的效果。相比于静态评价，本模型可以体现软土基坑累积变形到事故突然发生的转变过程，把风险评价由一次性的定性判断转变为全过程的可以更新的定量分析。</w:t>
      </w:r>
    </w:p>
    <w:p w14:paraId="04F6037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3.3 风险等级划分</w:t>
      </w:r>
    </w:p>
    <w:p w14:paraId="3E97DE8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用风险矩阵法划分风险等级，把风险值定义为事故发生的概率和损失后果相乘，分为低、中、高、非常高四个等级。概率等级按照贝叶斯网络的后验概率来确定，后果等级根据基坑的安全等级、周围环境敏感程度和损失情况一起评定。本工程基坑安全等级为二级，坑边紧靠道路管线，因此突涌、围护严重渗漏等概率高且后果严重的高风险等级为高风险等级，是预警和防控的重点对象。风险等级随着监测数据的更新而实时变化，和预警等级直接相连，评估与预警共享一个风险数据底座，防止出现脱节的误判，使评估结果可以及时转变为管控行动。</w:t>
      </w:r>
    </w:p>
    <w:p w14:paraId="0A864AB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 动态预警技术体系及运行机制</w:t>
      </w:r>
    </w:p>
    <w:p w14:paraId="161A951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4.1 多源数据采集与BIM信息集成</w:t>
      </w:r>
    </w:p>
    <w:p w14:paraId="03A448A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徐杨青等人就基坑监测数据分析处理、预测预警的需求展开研究，创建了基于基坑监测数据的处理分析及预测预警系统，把监测成果迅速转化成安全状态。根据以上工程建立多源数据采集系统，围护结构深层水平位移用测斜仪自动采集，支撑轴力、地下水位分别用轴力计、水位计进行实时观测，周边地表沉降采用静力水准和自动化全站仪相结合的方式进行观测，人工巡检信息通过移动终端进行同步录入。全部数据按监测点编码进入到BIM模型中，把基坑、围护结构、周边环境以及监测点三维关联起来，达到监测数据可视化的目的，可以迅速找到异常情况。监测数据每两小时自动生成一份回传至数据库中，人工巡查的数据当天归档，保证评价模型一直用最新的证据进行工作，给风险评价给予数据支撑。</w:t>
      </w:r>
    </w:p>
    <w:p w14:paraId="40D4D29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4.2 累计值+变形速率双控动态预警阈值</w:t>
      </w:r>
    </w:p>
    <w:p w14:paraId="58ABA1F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按照《建筑基坑工程监测技术标准》（GB 50497-2019），监测项目预警值要联系基坑类别，支护方式，周边环境情况一起决定[4]。软土基坑变形存在累积性、突发性的特点，只用累计值来判断变形速率的变化没有考虑后期发展过程中的累积超限问题，只看变形速率又会忽略缓慢发展造成的累计超限。王永明等人依据南京地区的建筑基坑工程实际状况创建建筑基坑变形预警及安全监控系统，将区域工程监测经验同信息化监控融合起来，给预警阈值的区域划分给予了参照[5]。本工程采取累计值和变形速率双控准则，将围护结构顶部水平位移、深层水平位移、坑底隆起、地下水位、周边地表沉降等全部作为双控对象，在各部位分别设置报警值，任一监测项目累计值达到设计报警值的70%时启动黄色预警，达到85%时启动橙色预警，变形速率连续两期大于控制值或者呈加快趋势时，不论累计值是否大于控制值都立即提高预警等级。双控可以兼顾变形总量和变化趋势，缩短软土基坑预警的时间。</w:t>
      </w:r>
    </w:p>
    <w:p w14:paraId="4CB2D7E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4.3 分级预警闭环响应流程</w:t>
      </w:r>
    </w:p>
    <w:p w14:paraId="20447DE7">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建立监测、评价、预警、应对、销警闭环流程，预警分为黄、橙、红三级预警。黄色预警时增加监测频率至每天两次，技术负责人组织原因分析并改变施工参数，橙色预警时启动专项处置方案，停止受影响区域的开挖，采取坑内反压回填、增设支撑或调整降水等方式进行应急处置，将处置情况及时通报给各方参建单位；红色预警时立即停止作业并撤离现场，启动应急预案，在专家小组确认变形收敛后方可复工。王乾坤等人建立地铁深基坑安全预警系统，采用T-S模糊</w:t>
      </w:r>
      <w:bookmarkStart w:id="0" w:name="_GoBack"/>
      <w:bookmarkEnd w:id="0"/>
      <w:r>
        <w:rPr>
          <w:rFonts w:hint="eastAsia"/>
        </w:rPr>
        <w:t>神经网络方法，用模糊推理和神经网络相结合的方式进行预警等级的智能判断[6]。本文在分级响应中参考上述思路，将多源监测特征输入预警模型做辅助判识等级，使得响应决策能够快速、准确[2]。各级预警要实行销号闭环管理，处置完毕并经过复核确认变形收敛之后才可解除预警。</w:t>
      </w:r>
    </w:p>
    <w:p w14:paraId="3B143F71">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表2 分级预警阈值与响应机制</w:t>
      </w:r>
    </w:p>
    <w:tbl>
      <w:tblPr>
        <w:tblStyle w:val="TableNormal"/>
        <w:tblW w:w="0" w:type="auto"/>
        <w:tblInd w:w="214" w:type="dxa"/>
        <w:tblBorders>
          <w:top w:val="single" w:sz="8" w:space="0" w:color="000000"/>
          <w:left w:val="none" w:sz="0" w:space="0" w:color="auto"/>
          <w:bottom w:val="single" w:sz="8" w:space="0" w:color="000000"/>
          <w:right w:val="none" w:sz="0" w:space="0" w:color="auto"/>
          <w:insideH w:val="none" w:sz="0" w:space="0" w:color="auto"/>
          <w:insideV w:val="none" w:sz="0" w:space="0" w:color="auto"/>
        </w:tblBorders>
        <w:tblCellMar>
          <w:top w:w="0" w:type="dxa"/>
          <w:left w:w="108" w:type="dxa"/>
          <w:bottom w:w="0" w:type="dxa"/>
          <w:right w:w="108" w:type="dxa"/>
        </w:tblCellMar>
      </w:tblPr>
      <w:tblGrid>
        <w:gridCol w:w="1152"/>
        <w:gridCol w:w="3240"/>
        <w:gridCol w:w="1416"/>
        <w:gridCol w:w="2500"/>
      </w:tblGrid>
      <w:tr w14:paraId="337AFA6E">
        <w:tblPrEx>
          <w:tblW w:w="0" w:type="auto"/>
          <w:tblInd w:w="214" w:type="dxa"/>
          <w:tblBorders>
            <w:top w:val="single" w:sz="8" w:space="0" w:color="000000"/>
            <w:left w:val="none" w:sz="0" w:space="0" w:color="auto"/>
            <w:bottom w:val="single" w:sz="8" w:space="0" w:color="000000"/>
            <w:right w:val="none" w:sz="0" w:space="0" w:color="auto"/>
            <w:insideH w:val="none" w:sz="0" w:space="0" w:color="auto"/>
            <w:insideV w:val="none" w:sz="0" w:space="0" w:color="auto"/>
          </w:tblBorders>
          <w:tblCellMar>
            <w:top w:w="0" w:type="dxa"/>
            <w:left w:w="108" w:type="dxa"/>
            <w:bottom w:w="0" w:type="dxa"/>
            <w:right w:w="108" w:type="dxa"/>
          </w:tblCellMar>
        </w:tblPrEx>
        <w:trPr>
          <w:cantSplit/>
          <w:tblHeader/>
        </w:trPr>
        <w:tc>
          <w:tcPr>
            <w:tcW w:w="1152" w:type="dxa"/>
            <w:tcBorders>
              <w:bottom w:val="single" w:sz="4" w:space="0" w:color="000000"/>
            </w:tcBorders>
            <w:vAlign w:val="center"/>
          </w:tcPr>
          <w:p w14:paraId="550CE99A">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预警等级</w:t>
            </w:r>
          </w:p>
        </w:tc>
        <w:tc>
          <w:tcPr>
            <w:tcW w:w="3240" w:type="dxa"/>
            <w:tcBorders>
              <w:bottom w:val="single" w:sz="4" w:space="0" w:color="000000"/>
            </w:tcBorders>
            <w:vAlign w:val="center"/>
          </w:tcPr>
          <w:p w14:paraId="766AF69A">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判据（双控）</w:t>
            </w:r>
          </w:p>
        </w:tc>
        <w:tc>
          <w:tcPr>
            <w:tcW w:w="1416" w:type="dxa"/>
            <w:tcBorders>
              <w:bottom w:val="single" w:sz="4" w:space="0" w:color="000000"/>
            </w:tcBorders>
            <w:vAlign w:val="center"/>
          </w:tcPr>
          <w:p w14:paraId="681FEC34">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监测频率</w:t>
            </w:r>
          </w:p>
        </w:tc>
        <w:tc>
          <w:tcPr>
            <w:tcW w:w="2500" w:type="dxa"/>
            <w:tcBorders>
              <w:bottom w:val="single" w:sz="4" w:space="0" w:color="000000"/>
            </w:tcBorders>
            <w:vAlign w:val="center"/>
          </w:tcPr>
          <w:p w14:paraId="0D71534E">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响应措施</w:t>
            </w:r>
          </w:p>
        </w:tc>
      </w:tr>
      <w:tr w14:paraId="43E2A3C9">
        <w:tblPrEx>
          <w:tblW w:w="0" w:type="auto"/>
          <w:tblInd w:w="214" w:type="dxa"/>
          <w:tblCellMar>
            <w:top w:w="0" w:type="dxa"/>
            <w:left w:w="108" w:type="dxa"/>
            <w:bottom w:w="0" w:type="dxa"/>
            <w:right w:w="108" w:type="dxa"/>
          </w:tblCellMar>
        </w:tblPrEx>
        <w:trPr>
          <w:cantSplit/>
        </w:trPr>
        <w:tc>
          <w:tcPr>
            <w:tcW w:w="1152" w:type="dxa"/>
            <w:vAlign w:val="center"/>
          </w:tcPr>
          <w:p w14:paraId="51CF4AC7">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黄色</w:t>
            </w:r>
          </w:p>
        </w:tc>
        <w:tc>
          <w:tcPr>
            <w:tcW w:w="3240" w:type="dxa"/>
            <w:vAlign w:val="center"/>
          </w:tcPr>
          <w:p w14:paraId="28FD2BD1">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累计值达报警值70%或速率连续超控</w:t>
            </w:r>
          </w:p>
        </w:tc>
        <w:tc>
          <w:tcPr>
            <w:tcW w:w="1416" w:type="dxa"/>
            <w:vAlign w:val="center"/>
          </w:tcPr>
          <w:p w14:paraId="7F630112">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每日2次</w:t>
            </w:r>
          </w:p>
        </w:tc>
        <w:tc>
          <w:tcPr>
            <w:tcW w:w="2500" w:type="dxa"/>
            <w:vAlign w:val="center"/>
          </w:tcPr>
          <w:p w14:paraId="3352145B">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加密监测、原因分析、调整参数</w:t>
            </w:r>
          </w:p>
        </w:tc>
      </w:tr>
      <w:tr w14:paraId="4D2F212F">
        <w:tblPrEx>
          <w:tblW w:w="0" w:type="auto"/>
          <w:tblInd w:w="214" w:type="dxa"/>
          <w:tblCellMar>
            <w:top w:w="0" w:type="dxa"/>
            <w:left w:w="108" w:type="dxa"/>
            <w:bottom w:w="0" w:type="dxa"/>
            <w:right w:w="108" w:type="dxa"/>
          </w:tblCellMar>
        </w:tblPrEx>
        <w:trPr>
          <w:cantSplit/>
        </w:trPr>
        <w:tc>
          <w:tcPr>
            <w:tcW w:w="1152" w:type="dxa"/>
            <w:vAlign w:val="center"/>
          </w:tcPr>
          <w:p w14:paraId="667013C1">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橙色</w:t>
            </w:r>
          </w:p>
        </w:tc>
        <w:tc>
          <w:tcPr>
            <w:tcW w:w="3240" w:type="dxa"/>
            <w:vAlign w:val="center"/>
          </w:tcPr>
          <w:p w14:paraId="639E60A3">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累计值达报警值85%或速率加速</w:t>
            </w:r>
          </w:p>
        </w:tc>
        <w:tc>
          <w:tcPr>
            <w:tcW w:w="1416" w:type="dxa"/>
            <w:vAlign w:val="center"/>
          </w:tcPr>
          <w:p w14:paraId="52720F6D">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每日2次以上</w:t>
            </w:r>
          </w:p>
        </w:tc>
        <w:tc>
          <w:tcPr>
            <w:tcW w:w="2500" w:type="dxa"/>
            <w:vAlign w:val="center"/>
          </w:tcPr>
          <w:p w14:paraId="05F402E6">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暂停开挖、反压回填、加设支撑</w:t>
            </w:r>
          </w:p>
        </w:tc>
      </w:tr>
      <w:tr w14:paraId="50FE5684">
        <w:tblPrEx>
          <w:tblW w:w="0" w:type="auto"/>
          <w:tblInd w:w="214" w:type="dxa"/>
          <w:tblCellMar>
            <w:top w:w="0" w:type="dxa"/>
            <w:left w:w="108" w:type="dxa"/>
            <w:bottom w:w="0" w:type="dxa"/>
            <w:right w:w="108" w:type="dxa"/>
          </w:tblCellMar>
        </w:tblPrEx>
        <w:trPr>
          <w:cantSplit/>
        </w:trPr>
        <w:tc>
          <w:tcPr>
            <w:tcW w:w="1152" w:type="dxa"/>
            <w:vAlign w:val="center"/>
          </w:tcPr>
          <w:p w14:paraId="1BD15FC0">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红色</w:t>
            </w:r>
          </w:p>
        </w:tc>
        <w:tc>
          <w:tcPr>
            <w:tcW w:w="3240" w:type="dxa"/>
            <w:vAlign w:val="center"/>
          </w:tcPr>
          <w:p w14:paraId="2B6B474A">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累计值达报警值或出现突变征兆</w:t>
            </w:r>
          </w:p>
        </w:tc>
        <w:tc>
          <w:tcPr>
            <w:tcW w:w="1416" w:type="dxa"/>
            <w:vAlign w:val="center"/>
          </w:tcPr>
          <w:p w14:paraId="4E2BFD81">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连续监测</w:t>
            </w:r>
          </w:p>
        </w:tc>
        <w:tc>
          <w:tcPr>
            <w:tcW w:w="2500" w:type="dxa"/>
            <w:vAlign w:val="center"/>
          </w:tcPr>
          <w:p w14:paraId="03991AF4">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停工撤离、启动应急预案</w:t>
            </w:r>
          </w:p>
        </w:tc>
      </w:tr>
    </w:tbl>
    <w:p w14:paraId="6F649FD8">
      <w:pPr>
        <w:keepNext w:val="0"/>
        <w:keepLines w:val="0"/>
        <w:pageBreakBefore w:val="0"/>
        <w:widowControl w:val="0"/>
        <w:kinsoku/>
        <w:wordWrap/>
        <w:overflowPunct/>
        <w:topLinePunct w:val="0"/>
        <w:autoSpaceDE/>
        <w:autoSpaceDN/>
        <w:bidi w:val="0"/>
        <w:adjustRightInd/>
        <w:snapToGrid/>
        <w:jc w:val="both"/>
        <w:textAlignment w:val="auto"/>
        <w:rPr>
          <w:rFonts w:hint="eastAsia"/>
        </w:rPr>
      </w:pPr>
    </w:p>
    <w:p w14:paraId="64ECB69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 软土基坑风险综合防控优化策略</w:t>
      </w:r>
    </w:p>
    <w:p w14:paraId="5F27140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5.1 勘察设计阶段风险前置管控</w:t>
      </w:r>
    </w:p>
    <w:p w14:paraId="47ACC18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5.2 施工过程精细化管控 </w:t>
      </w:r>
    </w:p>
    <w:p w14:paraId="7DC4AAE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5.3 信息化系统迭代升级 </w:t>
      </w:r>
    </w:p>
    <w:p w14:paraId="32524CD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5.4 人工巡查与自动化监测互补</w:t>
      </w:r>
    </w:p>
    <w:p w14:paraId="2FD6997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结论： 参考文献：</w:t>
      </w:r>
    </w:p>
    <w:p w14:paraId="64F50EB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B3332E0"/>
    <w:rsid w:val="3B0B4C3D"/>
    <w:rsid w:val="46C740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2026-10-29T16:44:01Z</dcterms:created>
  <dcterms:modified xsi:type="dcterms:W3CDTF">2026-10-29T17:22:03Z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74F006B31AA344DCAA3AB0368349A34D_12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