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328D2EC4">
      <w:pPr>
        <w:jc w:val="center"/>
        <w:rPr>
          <w:rFonts w:hint="eastAsia"/>
        </w:rPr>
      </w:pPr>
      <w:r>
        <w:rPr>
          <w:rFonts w:hint="eastAsia"/>
        </w:rPr>
        <w:t>软土地区深基坑施工风险评估及动态预警技术应用</w:t>
      </w:r>
    </w:p>
    <w:p w14:paraId="364EBC5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6000字，不需要AI报告，知网普通查重不能为0，有附件为提纲及资料，普刊。</w:t>
      </w:r>
    </w:p>
    <w:p w14:paraId="0E79645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p w14:paraId="0BC20B1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摘要：</w:t>
      </w:r>
      <w:r>
        <w:rPr>
          <w:rFonts w:hint="eastAsia"/>
        </w:rPr>
        <w:t>软土地区深基坑施工受高含水量、高压缩性软土、浅埋承压水的影响，风险随着开挖的进行而变化。以宁波市镇海区某园区深基坑工程为背景，用WBS-RBS的方法对风险源进行系统识别，建立贝叶斯网络动态风险评价模型，用监测数据滚动更新风险等级，建立累计值和变形速率双控分级预警机制，用BIM整合多源监测数据，形成识别、评价、预警、响应的闭环。工程实践证明，此体系对于提高软土基坑的防护措施具有很高的针对性和时效性，对其他类似工程有较好的推广意义。</w:t>
      </w:r>
    </w:p>
    <w:p w14:paraId="1CD2787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关键词：软土深基坑；风险评估；贝叶斯网络；动态预警；双控阈值</w:t>
      </w:r>
    </w:p>
    <w:p w14:paraId="254E98C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引言：软土地区基坑工程是城市地下空间开发利用中事故多发的高危领域。软土含水量高、孔隙比大、抗剪强度低、灵敏度高、有触变性、有流变性，基坑开挖后引起的卸荷、降水易造成围护结构大变形、坑底隆起、流砂突涌、周边环境沉降等一系列连锁风险。传统的依靠静态评价、经验阈值为主的控制手段无法对风险随着开挖过程的发展进行动态的描述，预警滞后严重。因此本文以宁波市镇海区某产业园区深基坑工程为例，以风险识别、动态评价、分级预警和防控闭环为主线，建立软土深基坑施工风险评估及动态预警的技术体系，分析软土基坑软土基坑施工风险评估及动态预警技术体系的适用范围及运行机制，为类似工程风险控制提供一定的参考。</w:t>
      </w:r>
    </w:p>
    <w:p w14:paraId="01F835D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1 工程地质背景与工程概况 </w:t>
      </w:r>
    </w:p>
    <w:p w14:paraId="2FE9EE6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1.1 工程概况</w:t>
      </w:r>
    </w:p>
    <w:p w14:paraId="171EC11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拟建工程位于宁波市镇海区，是产业园区项目，占地面积9.45万m2，总建筑面积约29.27万m2，地下建筑面积约4.96万m2，由17栋产业用房和综合配套楼组成，均为一层地下室，底板埋深约4.5-5.5m，基坑开挖深度约7～9m。场地西面为耕渔路、南面为永茂东路，距道路约15-25米。根据浙江省《建筑基坑工程技术规范》（DB33/T 1096-2014），本基坑的安全等级为二级，必须采取支护措施，并且需要做系统监测。本工程共布设勘探孔184个，可以给工程的风险评价提供地层依据。</w:t>
      </w:r>
    </w:p>
    <w:p w14:paraId="7C333B0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1.2 场地工程地质条件</w:t>
      </w:r>
    </w:p>
    <w:p w14:paraId="4078497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场地为海积、冲海积平原地貌，第四系覆盖层厚度大于80m，共发现7个工程地质层组、14个亚层。表部1-1层杂填土厚0.3～2.5m，成分复杂，最大粒径大于10cm，场地北部、东南部有暗塘、暗浜。其下两层淤泥质黏土全场地分布，厚度6.8～11.4m，为灰流塑饱和状，含水率为51.7%，孔隙比0.468，压缩模量2.41MPa，快剪强度c=7.3kPa，φ=2.1°，承载力特征值50kPa，具有高压缩性、高灵敏度、明显的触变和流变性，是开挖范围内主要的软弱层。场地等效剪切波速127.4m/s，覆盖层大于80m，属Ⅳ类场地、建筑抗震不利地段。下部三层粉砂及5-1层砂质粉土、6层中砂中密至密实是基坑底和桩基持力层。</w:t>
      </w:r>
    </w:p>
    <w:p w14:paraId="2DD7B5F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1.3 水文地质条件</w:t>
      </w:r>
    </w:p>
    <w:p w14:paraId="6FA4D25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场地地下水分孔隙潜水和承压水两类。孔隙潜水存在于上部杂填土和黏性土层中，实测水位埋深为0.5～2.0m，年变化幅度为1.0～1.5m，是基坑开挖的主要补给水源。浅部承压水存在于3层粉砂，渗透系数为2.0×10⁻³～4.4×10⁻³cm/s，静止水位埋深不到1m，单井出水量为90～141m³/d，深部承压水存在于5、6层砂土。按坑底标高-5.5m、3-1层顶板-7.48m、承压水头0.95m验算，抗渗流稳定性系数小于1.1，基坑开挖有坑底突涌危险，必须采取降水、止水措施。</w:t>
      </w:r>
    </w:p>
    <w:p w14:paraId="22F60A14">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1.4 软土基坑主要工程难点</w:t>
      </w:r>
    </w:p>
    <w:p w14:paraId="45016CE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本工程难点有四个，即厚层软土强度低、流变性大，支护变形和坑底隆起有明显的时空间效，浅埋承压水和潜水叠加，突涌、流砂、渗漏的危险因素交错，杂填土及暗塘暗浜分布不均，容易造成成孔塌孔和围护渗漏的危险，坑边紧邻道路及管线，变形控制标准高。</w:t>
      </w:r>
    </w:p>
    <w:p w14:paraId="0320527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2 软土地区深基坑施工风险特征及风险源识别 </w:t>
      </w:r>
    </w:p>
    <w:p w14:paraId="6B42BCD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2.1 软土基坑风险基本特征</w:t>
      </w:r>
    </w:p>
    <w:p w14:paraId="74FF348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根据场地条件软土基坑施工风险有四个特点。第二是动态的，风险随着开挖深度、暴露时间以及支护受力情况的变化而不断变化，卸荷速度越大，暴露时间越长，则变形的发展就越快。二是耦合性，水、土、支护、环境等要素互相联系，降水过量会造成坑底出现涌水和地面下沉的情况，围护渗漏还会加快软土的强度衰减。三是突变性，软土经受流变的累积之后，变形一般会先慢后快、最后突然发生，预警时间很短。四是不确定性的体现，由于软土参数的离散性大，取样扰动容易低估软土的敏感性，监测信息不完整的时候风险判断的误差很大。软土受扰动之后强度会明显降低，卸荷、降水、机械振动都会引起软土的强度下降，造成风险状态的瞬间跃迁。由此可以得出结论，静态、一次性的风险评价不能满足软土基坑安全施工的要求，必须建立可以随着施工进度变化的动态评价和预警系统。</w:t>
      </w:r>
    </w:p>
    <w:p w14:paraId="6F74C62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2.2 基于WBS-RBS的风险源识别</w:t>
      </w:r>
    </w:p>
    <w:p w14:paraId="576257C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周红波等认为基坑工程环境复杂、影响因素多，利用故障树分析为基础，结合工作分解结构、风险分解结构的方法对基坑工程风险进行识别，用WBS-RBS把基坑工程的工作分解结构和风险源分解结构耦合判断，给出相应的风险因素或风险事件</w:t>
      </w:r>
      <w:r>
        <w:rPr>
          <w:rFonts w:hint="eastAsia"/>
          <w:vertAlign w:val="superscript"/>
        </w:rPr>
        <w:t>[1]</w:t>
      </w:r>
      <w:r>
        <w:rPr>
          <w:rFonts w:hint="eastAsia"/>
        </w:rPr>
        <w:t>。本文采用这种方法把基坑施工全过程分解为围护结构施工、降水、土方开挖、支撑安装、底板浇筑回填工作单元，并且把风险分成地质、水文、支护结构、施工管理、周边环境五个层次进行逐步分解，建立WBS-RBS耦合矩阵，对每一个工作单元和风险因素之间的关联关系进行逐一判断，剔除关联度低、影响不大的组合，保留风险清单约20项作为指标体系的输入。经过识别可知本工程的主要风险源有六类，杂填土、暗塘暗浜造成的成孔塌孔、渗漏，淤泥质黏土造成支护变形过大、坑底隆起及边坡失稳，承压水导致的坑底突涌及流砂，降水引起的地面沉降及管线变形，支撑失稳、拆撑不当，监测失效、管理不到位，前四项为原生性技术风险，后两项为派生性风险，两者互相叠加成为风险源的主要构成（见表1）。</w:t>
      </w:r>
    </w:p>
    <w:p w14:paraId="003C2D54">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表1 软土基坑主要风险源识别结果</w:t>
      </w:r>
    </w:p>
    <w:tbl>
      <w:tblPr>
        <w:tblStyle w:val="TableNormal"/>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
      <w:tblGrid>
        <w:gridCol w:w="1356"/>
        <w:gridCol w:w="2846"/>
        <w:gridCol w:w="2846"/>
      </w:tblGrid>
      <w:tr w14:paraId="47F2E740">
        <w:tblPrEx>
          <w:tblW w:w="0" w:type="auto"/>
          <w:jc w:val="center"/>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Ex>
        <w:trPr>
          <w:cantSplit/>
          <w:tblHeader/>
          <w:jc w:val="center"/>
        </w:trPr>
        <w:tc>
          <w:tcPr>
            <w:tcW w:w="1356" w:type="dxa"/>
            <w:tcBorders>
              <w:bottom w:val="single" w:sz="4" w:space="0" w:color="000000"/>
            </w:tcBorders>
            <w:vAlign w:val="center"/>
          </w:tcPr>
          <w:p w14:paraId="2299DA00">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风险类型</w:t>
            </w:r>
          </w:p>
        </w:tc>
        <w:tc>
          <w:tcPr>
            <w:tcW w:w="2846" w:type="dxa"/>
            <w:tcBorders>
              <w:bottom w:val="single" w:sz="4" w:space="0" w:color="000000"/>
            </w:tcBorders>
            <w:vAlign w:val="center"/>
          </w:tcPr>
          <w:p w14:paraId="3B43B622">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主要风险源</w:t>
            </w:r>
          </w:p>
        </w:tc>
        <w:tc>
          <w:tcPr>
            <w:tcW w:w="2846" w:type="dxa"/>
            <w:tcBorders>
              <w:bottom w:val="single" w:sz="4" w:space="0" w:color="000000"/>
            </w:tcBorders>
            <w:vAlign w:val="center"/>
          </w:tcPr>
          <w:p w14:paraId="3D991478">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可能后果</w:t>
            </w:r>
          </w:p>
        </w:tc>
      </w:tr>
      <w:tr w14:paraId="1675C3FA">
        <w:tblPrEx>
          <w:tblW w:w="0" w:type="auto"/>
          <w:jc w:val="center"/>
          <w:tblCellMar>
            <w:top w:w="0" w:type="dxa"/>
            <w:left w:w="108" w:type="dxa"/>
            <w:bottom w:w="0" w:type="dxa"/>
            <w:right w:w="108" w:type="dxa"/>
          </w:tblCellMar>
        </w:tblPrEx>
        <w:trPr>
          <w:cantSplit/>
          <w:jc w:val="center"/>
        </w:trPr>
        <w:tc>
          <w:tcPr>
            <w:tcW w:w="1356" w:type="dxa"/>
            <w:vAlign w:val="center"/>
          </w:tcPr>
          <w:p w14:paraId="6477984F">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地质风险</w:t>
            </w:r>
          </w:p>
        </w:tc>
        <w:tc>
          <w:tcPr>
            <w:tcW w:w="2846" w:type="dxa"/>
            <w:vAlign w:val="center"/>
          </w:tcPr>
          <w:p w14:paraId="6B40A89C">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杂填土、暗塘暗浜分布不均</w:t>
            </w:r>
          </w:p>
        </w:tc>
        <w:tc>
          <w:tcPr>
            <w:tcW w:w="2846" w:type="dxa"/>
            <w:vAlign w:val="center"/>
          </w:tcPr>
          <w:p w14:paraId="546D0812">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成孔塌孔、围护渗漏</w:t>
            </w:r>
          </w:p>
        </w:tc>
      </w:tr>
      <w:tr w14:paraId="589D6606">
        <w:tblPrEx>
          <w:tblW w:w="0" w:type="auto"/>
          <w:jc w:val="center"/>
          <w:tblCellMar>
            <w:top w:w="0" w:type="dxa"/>
            <w:left w:w="108" w:type="dxa"/>
            <w:bottom w:w="0" w:type="dxa"/>
            <w:right w:w="108" w:type="dxa"/>
          </w:tblCellMar>
        </w:tblPrEx>
        <w:trPr>
          <w:cantSplit/>
          <w:jc w:val="center"/>
        </w:trPr>
        <w:tc>
          <w:tcPr>
            <w:tcW w:w="1356" w:type="dxa"/>
            <w:vAlign w:val="center"/>
          </w:tcPr>
          <w:p w14:paraId="7D17330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地质风险</w:t>
            </w:r>
          </w:p>
        </w:tc>
        <w:tc>
          <w:tcPr>
            <w:tcW w:w="2846" w:type="dxa"/>
            <w:vAlign w:val="center"/>
          </w:tcPr>
          <w:p w14:paraId="6942C2B9">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厚层淤泥质黏土</w:t>
            </w:r>
          </w:p>
        </w:tc>
        <w:tc>
          <w:tcPr>
            <w:tcW w:w="2846" w:type="dxa"/>
            <w:vAlign w:val="center"/>
          </w:tcPr>
          <w:p w14:paraId="5AF39786">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支护变形超限、坑底隆起</w:t>
            </w:r>
          </w:p>
        </w:tc>
      </w:tr>
      <w:tr w14:paraId="0E57626D">
        <w:tblPrEx>
          <w:tblW w:w="0" w:type="auto"/>
          <w:jc w:val="center"/>
          <w:tblCellMar>
            <w:top w:w="0" w:type="dxa"/>
            <w:left w:w="108" w:type="dxa"/>
            <w:bottom w:w="0" w:type="dxa"/>
            <w:right w:w="108" w:type="dxa"/>
          </w:tblCellMar>
        </w:tblPrEx>
        <w:trPr>
          <w:cantSplit/>
          <w:jc w:val="center"/>
        </w:trPr>
        <w:tc>
          <w:tcPr>
            <w:tcW w:w="1356" w:type="dxa"/>
            <w:vAlign w:val="center"/>
          </w:tcPr>
          <w:p w14:paraId="370FEAFF">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水文风险</w:t>
            </w:r>
          </w:p>
        </w:tc>
        <w:tc>
          <w:tcPr>
            <w:tcW w:w="2846" w:type="dxa"/>
            <w:vAlign w:val="center"/>
          </w:tcPr>
          <w:p w14:paraId="6537AF44">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浅埋承压水</w:t>
            </w:r>
          </w:p>
        </w:tc>
        <w:tc>
          <w:tcPr>
            <w:tcW w:w="2846" w:type="dxa"/>
            <w:vAlign w:val="center"/>
          </w:tcPr>
          <w:p w14:paraId="1C5415E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坑底突涌、流砂</w:t>
            </w:r>
          </w:p>
        </w:tc>
      </w:tr>
      <w:tr w14:paraId="753F6B46">
        <w:tblPrEx>
          <w:tblW w:w="0" w:type="auto"/>
          <w:jc w:val="center"/>
          <w:tblCellMar>
            <w:top w:w="0" w:type="dxa"/>
            <w:left w:w="108" w:type="dxa"/>
            <w:bottom w:w="0" w:type="dxa"/>
            <w:right w:w="108" w:type="dxa"/>
          </w:tblCellMar>
        </w:tblPrEx>
        <w:trPr>
          <w:cantSplit/>
          <w:jc w:val="center"/>
        </w:trPr>
        <w:tc>
          <w:tcPr>
            <w:tcW w:w="1356" w:type="dxa"/>
            <w:vAlign w:val="center"/>
          </w:tcPr>
          <w:p w14:paraId="6E07B57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水文风险</w:t>
            </w:r>
          </w:p>
        </w:tc>
        <w:tc>
          <w:tcPr>
            <w:tcW w:w="2846" w:type="dxa"/>
            <w:vAlign w:val="center"/>
          </w:tcPr>
          <w:p w14:paraId="53FB7114">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潜水补给与施工降水</w:t>
            </w:r>
          </w:p>
        </w:tc>
        <w:tc>
          <w:tcPr>
            <w:tcW w:w="2846" w:type="dxa"/>
            <w:vAlign w:val="center"/>
          </w:tcPr>
          <w:p w14:paraId="10350D1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地面沉降、管线变形</w:t>
            </w:r>
          </w:p>
        </w:tc>
      </w:tr>
      <w:tr w14:paraId="7231D3B6">
        <w:tblPrEx>
          <w:tblW w:w="0" w:type="auto"/>
          <w:jc w:val="center"/>
          <w:tblCellMar>
            <w:top w:w="0" w:type="dxa"/>
            <w:left w:w="108" w:type="dxa"/>
            <w:bottom w:w="0" w:type="dxa"/>
            <w:right w:w="108" w:type="dxa"/>
          </w:tblCellMar>
        </w:tblPrEx>
        <w:trPr>
          <w:cantSplit/>
          <w:jc w:val="center"/>
        </w:trPr>
        <w:tc>
          <w:tcPr>
            <w:tcW w:w="1356" w:type="dxa"/>
            <w:vAlign w:val="center"/>
          </w:tcPr>
          <w:p w14:paraId="4A43064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结构风险</w:t>
            </w:r>
          </w:p>
        </w:tc>
        <w:tc>
          <w:tcPr>
            <w:tcW w:w="2846" w:type="dxa"/>
            <w:vAlign w:val="center"/>
          </w:tcPr>
          <w:p w14:paraId="2F6F839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支撑体系与拆撑不当</w:t>
            </w:r>
          </w:p>
        </w:tc>
        <w:tc>
          <w:tcPr>
            <w:tcW w:w="2846" w:type="dxa"/>
            <w:vAlign w:val="center"/>
          </w:tcPr>
          <w:p w14:paraId="1F97940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支撑失稳、围护破坏</w:t>
            </w:r>
          </w:p>
        </w:tc>
      </w:tr>
      <w:tr w14:paraId="0EA44C34">
        <w:tblPrEx>
          <w:tblW w:w="0" w:type="auto"/>
          <w:jc w:val="center"/>
          <w:tblCellMar>
            <w:top w:w="0" w:type="dxa"/>
            <w:left w:w="108" w:type="dxa"/>
            <w:bottom w:w="0" w:type="dxa"/>
            <w:right w:w="108" w:type="dxa"/>
          </w:tblCellMar>
        </w:tblPrEx>
        <w:trPr>
          <w:cantSplit/>
          <w:jc w:val="center"/>
        </w:trPr>
        <w:tc>
          <w:tcPr>
            <w:tcW w:w="1356" w:type="dxa"/>
            <w:vAlign w:val="center"/>
          </w:tcPr>
          <w:p w14:paraId="03B1B159">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管理风险</w:t>
            </w:r>
          </w:p>
        </w:tc>
        <w:tc>
          <w:tcPr>
            <w:tcW w:w="2846" w:type="dxa"/>
            <w:vAlign w:val="center"/>
          </w:tcPr>
          <w:p w14:paraId="4D609759">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监测失效、制度缺位</w:t>
            </w:r>
          </w:p>
        </w:tc>
        <w:tc>
          <w:tcPr>
            <w:tcW w:w="2846" w:type="dxa"/>
            <w:vAlign w:val="center"/>
          </w:tcPr>
          <w:p w14:paraId="5694120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预警漏报、响应滞后</w:t>
            </w:r>
          </w:p>
        </w:tc>
      </w:tr>
    </w:tbl>
    <w:p w14:paraId="784CA0F2">
      <w:pPr>
        <w:keepNext w:val="0"/>
        <w:keepLines w:val="0"/>
        <w:pageBreakBefore w:val="0"/>
        <w:widowControl w:val="0"/>
        <w:kinsoku/>
        <w:wordWrap/>
        <w:overflowPunct/>
        <w:topLinePunct w:val="0"/>
        <w:autoSpaceDE/>
        <w:autoSpaceDN/>
        <w:bidi w:val="0"/>
        <w:adjustRightInd/>
        <w:snapToGrid/>
        <w:jc w:val="both"/>
        <w:textAlignment w:val="auto"/>
        <w:rPr>
          <w:rFonts w:hint="eastAsia"/>
        </w:rPr>
      </w:pPr>
    </w:p>
    <w:p w14:paraId="7A288A2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3 软土深基坑施工动态风险评估体系构建 </w:t>
      </w:r>
    </w:p>
    <w:p w14:paraId="7520C41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3.1 风险评估指标体系</w:t>
      </w:r>
    </w:p>
    <w:p w14:paraId="54CF3CA6">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在风险源识别的基础上建立目标层、准则层、指标层三级指标体系。目标层为基坑施工综合风险，准则层设围护结构风险、坑底稳定性风险、周边环境风险和施工管理风险四个准则层；指标层选择可以度量、可以观察、可以更新的量度指标，围护墙顶水平位移、深层水平位移、支撑轴力、坑底隆起量、地下水位、周边地表沉降、管线变形、监测数据的完整性等。根据正常、注意、警戒、危险四级状态来划分各个指标，根据监测值、变形速率以及发展趋势来综合判断，根据勘察资料、规范要求和当地的经验来确定指标权重以及状态阈值，根据监测结果进行修正。指标体系是动态的，用贝叶斯网络模型的输入节点来反映各个施工阶段的变化因素，给贝叶斯网络模型赋予条件支撑。</w:t>
      </w:r>
    </w:p>
    <w:p w14:paraId="5C1B45C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3.2 基于贝叶斯网络的动态风险评估模型</w:t>
      </w:r>
    </w:p>
    <w:p w14:paraId="2D47C700">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贝叶斯网络利用有向无环图来表达风险因素之间的因果关系，用条件概率表来度量不确定，可以依据监测证据做正向推断也可以做反向诊断。卢鑫月等在施工过程中风险随时间变化的基础上提出了以动态贝叶斯网络和模糊综合评价相结合的施工动态风险评估模型，以施工环境、施工技术、施工机械、施工管理等施工风险因素为节点，以施工风险为变量，建立DBN模型来对施工全过程风险进行实时动态评价[2]。本文参照此思路，把基坑风险模型分成时间片，把前一个时段的风险状况当作先验信息，把当前时段的监测信息当作观测变量，用时间转移概率来刻画风险变化，正演预测未来时段的风险程度，反演诊断回溯引起事故的主要因素，给处置决策指明方向。模型以围护渗漏、坑底突涌、周边沉降为主要链条的节点设置，围护变形速率、渗漏量、水位变化、坑底隆起为根节点，突涌和渗漏为中间事件，综合风险为叶节点。每一轮监测数据的出现用贝叶斯公式来更新各个节点的后验概率，从而达到风险等级滚动修正的目的。与静态评价相比，该模型可以把软土基坑长期变形、强度衰减到事故发生的全过程都纳入考虑范围，而且将风险评估由一次性的定性分析提升到全过程可更新的定量分析。</w:t>
      </w:r>
    </w:p>
    <w:p w14:paraId="04F6037C">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3.3 风险等级划分</w:t>
      </w:r>
    </w:p>
    <w:p w14:paraId="3E97DE8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使用风险矩阵法确定风险等级，用事故发生概率和损失后果的乘积来确定风险值，将风险分为低、中、高三个等级。概率等级根据贝叶斯网络的后验概率来确定后果等级，后果等级是由基坑安全等级、周边环境敏感性和损失情况三者综合判定。本工程基坑安全等级为二级，周边有道路管线，因此将突涌、围护严重渗漏等概率大、后果严重、发生概率较高的风险列为高风险等级的危险源，是预警和防控工作的重中之重。风险等级随着监测数据的更新而动态改变，和预警分级紧密挂钩，评价预警共享同一个风险数据底座，防止出现脱节误判的情况，保证评估的结果可以迅速地转化成有效的管理措施。</w:t>
      </w:r>
    </w:p>
    <w:p w14:paraId="0A864AB1">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 动态预警技术体系及运行机制</w:t>
      </w:r>
    </w:p>
    <w:p w14:paraId="161A951D">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4.1 多源数据采集与BIM信息集成</w:t>
      </w:r>
    </w:p>
    <w:p w14:paraId="03A448A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徐杨青等人根据基坑监测数据分析处理以及预测预警的要求，提出了一种监测数据处理分析和预测预警系统，将监测结果快速转成安全状态。因此建立多源数据采集系统，采用测斜仪自动记录围护结构深层水平位移，支撑轴力和地下水位分别用轴力计、水位计进行实时监测，周边地表沉降用静力水准和自动化全站仪联动观测，人工巡视信息通过移动终端同步录入。全部数据根据监测点编码进行接入BIM模型，把基坑、围护结构、周边环境以及监测点的三维信息关联起来，使监测数据可以被可视化地表达出来，并且可以快速找到异常情况。每2小时自动生成的监测数据通过数据流的方式自动存入数据库，人工巡查数据当天存档，保证模型一直使用最新的证据来运行，为风险评价提供数据支持。</w:t>
      </w:r>
    </w:p>
    <w:p w14:paraId="40D4D29B">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4.2 累计值+变形速率双控动态预警阈值</w:t>
      </w:r>
    </w:p>
    <w:p w14:paraId="58ABA1FE">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按照建筑基坑工程监测技术标准（GB 50497-2019），根据基坑类别，支护方式以及周边环境条件等综合因素来确定预警值[4]。软土基坑变形是渐进的、突发的，只用累计值作为判断依据不能发现变形速率突然变大的早期征兆，只重视速率的话容易忽略由于持续缓慢增长所造成的累计超限。王永明等根据南京地区的建筑基坑工程实践建立建筑基坑变形预警及安全监控系统，把区域工程监测的经验同信息化监控结合起来，给预警阈值区域化确定提供一定的参考[5]。本工程用累计值和变形速率双控准则，将围护结构顶部水平位移、深层水平位移、坑底隆起、地下水位、周边地表沉降等都纳入双控范围，根据部位设置报警值，当某一监测项目累计值达到设计报警值的70%时进入黄色预警，达到85%时进入橙色预警，变形速率连续两期大于控制值或者呈加快趋势，不管累计值大小都直接升级预警。双控可以控制软土基坑的预警时间间隔。</w:t>
      </w:r>
    </w:p>
    <w:p w14:paraId="4CB2D7E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4.3 分级预警闭环响应流程</w:t>
      </w:r>
    </w:p>
    <w:p w14:paraId="20447DE7">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形成监测、评估、预警、应对、销警的闭环流程，预警等级分为三级黄、橙、红。黄色预警下监测次数加密为一天两次，由技术负责人组织对原因进行分析、调整施工参数；橙色预警时开展专项处置方案，停止受该影响的区域开挖，进行坑内反压回填、加设支撑或者降水调整等应急措施，并通知有关方；红色预警时立即停工撤场，启动应急预案，待变形收敛并通过专家评审后方能复工。王乾坤等用T-S模糊神经网络建立了地铁深基坑的安全预警方法，用模糊</w:t>
      </w:r>
      <w:bookmarkStart w:id="0" w:name="_GoBack"/>
      <w:bookmarkEnd w:id="0"/>
      <w:r>
        <w:rPr>
          <w:rFonts w:hint="eastAsia"/>
        </w:rPr>
        <w:t>推理加神经网络的方式实现预警等级的智能判断[6]。本文在分级响应时采用了类似的思路，把多源监测特征输入到预警模型中进行辅助判别等级，从而提高响应决策的速度与一致程度（表2）。各级预警都要实行销号闭环管理，处置结束并经过复核确认变形收敛之后才能解除预警。</w:t>
      </w:r>
    </w:p>
    <w:p w14:paraId="3B143F71">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表2 分级预警阈值与响应机制</w:t>
      </w:r>
    </w:p>
    <w:tbl>
      <w:tblPr>
        <w:tblStyle w:val="TableNormal"/>
        <w:tblW w:w="0" w:type="auto"/>
        <w:tblInd w:w="214" w:type="dxa"/>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
      <w:tblGrid>
        <w:gridCol w:w="1152"/>
        <w:gridCol w:w="3240"/>
        <w:gridCol w:w="1416"/>
        <w:gridCol w:w="2500"/>
      </w:tblGrid>
      <w:tr w14:paraId="337AFA6E">
        <w:tblPrEx>
          <w:tblW w:w="0" w:type="auto"/>
          <w:tblInd w:w="214" w:type="dxa"/>
          <w:tblBorders>
            <w:top w:val="single" w:sz="8" w:space="0" w:color="000000"/>
            <w:left w:val="none" w:sz="0" w:space="0" w:color="auto"/>
            <w:bottom w:val="single" w:sz="8" w:space="0" w:color="000000"/>
            <w:right w:val="none" w:sz="0" w:space="0" w:color="auto"/>
            <w:insideH w:val="none" w:sz="0" w:space="0" w:color="auto"/>
            <w:insideV w:val="none" w:sz="0" w:space="0" w:color="auto"/>
          </w:tblBorders>
          <w:tblCellMar>
            <w:top w:w="0" w:type="dxa"/>
            <w:left w:w="108" w:type="dxa"/>
            <w:bottom w:w="0" w:type="dxa"/>
            <w:right w:w="108" w:type="dxa"/>
          </w:tblCellMar>
        </w:tblPrEx>
        <w:trPr>
          <w:cantSplit/>
          <w:tblHeader/>
        </w:trPr>
        <w:tc>
          <w:tcPr>
            <w:tcW w:w="1152" w:type="dxa"/>
            <w:tcBorders>
              <w:bottom w:val="single" w:sz="4" w:space="0" w:color="000000"/>
            </w:tcBorders>
            <w:vAlign w:val="center"/>
          </w:tcPr>
          <w:p w14:paraId="550CE99A">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预警等级</w:t>
            </w:r>
          </w:p>
        </w:tc>
        <w:tc>
          <w:tcPr>
            <w:tcW w:w="3240" w:type="dxa"/>
            <w:tcBorders>
              <w:bottom w:val="single" w:sz="4" w:space="0" w:color="000000"/>
            </w:tcBorders>
            <w:vAlign w:val="center"/>
          </w:tcPr>
          <w:p w14:paraId="766AF69A">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判据（双控）</w:t>
            </w:r>
          </w:p>
        </w:tc>
        <w:tc>
          <w:tcPr>
            <w:tcW w:w="1416" w:type="dxa"/>
            <w:tcBorders>
              <w:bottom w:val="single" w:sz="4" w:space="0" w:color="000000"/>
            </w:tcBorders>
            <w:vAlign w:val="center"/>
          </w:tcPr>
          <w:p w14:paraId="681FEC34">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监测频率</w:t>
            </w:r>
          </w:p>
        </w:tc>
        <w:tc>
          <w:tcPr>
            <w:tcW w:w="2500" w:type="dxa"/>
            <w:tcBorders>
              <w:bottom w:val="single" w:sz="4" w:space="0" w:color="000000"/>
            </w:tcBorders>
            <w:vAlign w:val="center"/>
          </w:tcPr>
          <w:p w14:paraId="0D71534E">
            <w:pPr>
              <w:keepNext w:val="0"/>
              <w:keepLines w:val="0"/>
              <w:pageBreakBefore w:val="0"/>
              <w:widowControl w:val="0"/>
              <w:kinsoku/>
              <w:wordWrap/>
              <w:overflowPunct/>
              <w:topLinePunct w:val="0"/>
              <w:autoSpaceDE/>
              <w:autoSpaceDN/>
              <w:bidi w:val="0"/>
              <w:adjustRightInd/>
              <w:snapToGrid/>
              <w:jc w:val="center"/>
              <w:textAlignment w:val="auto"/>
              <w:rPr>
                <w:rFonts w:hint="eastAsia"/>
              </w:rPr>
            </w:pPr>
            <w:r>
              <w:rPr>
                <w:rFonts w:hint="eastAsia"/>
              </w:rPr>
              <w:t>响应措施</w:t>
            </w:r>
          </w:p>
        </w:tc>
      </w:tr>
      <w:tr w14:paraId="43E2A3C9">
        <w:tblPrEx>
          <w:tblW w:w="0" w:type="auto"/>
          <w:tblInd w:w="214" w:type="dxa"/>
          <w:tblCellMar>
            <w:top w:w="0" w:type="dxa"/>
            <w:left w:w="108" w:type="dxa"/>
            <w:bottom w:w="0" w:type="dxa"/>
            <w:right w:w="108" w:type="dxa"/>
          </w:tblCellMar>
        </w:tblPrEx>
        <w:trPr>
          <w:cantSplit/>
        </w:trPr>
        <w:tc>
          <w:tcPr>
            <w:tcW w:w="1152" w:type="dxa"/>
            <w:vAlign w:val="center"/>
          </w:tcPr>
          <w:p w14:paraId="51CF4AC7">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黄色</w:t>
            </w:r>
          </w:p>
        </w:tc>
        <w:tc>
          <w:tcPr>
            <w:tcW w:w="3240" w:type="dxa"/>
            <w:vAlign w:val="center"/>
          </w:tcPr>
          <w:p w14:paraId="28FD2BD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累计值达报警值70%或速率连续超控</w:t>
            </w:r>
          </w:p>
        </w:tc>
        <w:tc>
          <w:tcPr>
            <w:tcW w:w="1416" w:type="dxa"/>
            <w:vAlign w:val="center"/>
          </w:tcPr>
          <w:p w14:paraId="7F630112">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每日2次</w:t>
            </w:r>
          </w:p>
        </w:tc>
        <w:tc>
          <w:tcPr>
            <w:tcW w:w="2500" w:type="dxa"/>
            <w:vAlign w:val="center"/>
          </w:tcPr>
          <w:p w14:paraId="3352145B">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加密监测、原因分析、调整参数</w:t>
            </w:r>
          </w:p>
        </w:tc>
      </w:tr>
      <w:tr w14:paraId="4D2F212F">
        <w:tblPrEx>
          <w:tblW w:w="0" w:type="auto"/>
          <w:tblInd w:w="214" w:type="dxa"/>
          <w:tblCellMar>
            <w:top w:w="0" w:type="dxa"/>
            <w:left w:w="108" w:type="dxa"/>
            <w:bottom w:w="0" w:type="dxa"/>
            <w:right w:w="108" w:type="dxa"/>
          </w:tblCellMar>
        </w:tblPrEx>
        <w:trPr>
          <w:cantSplit/>
        </w:trPr>
        <w:tc>
          <w:tcPr>
            <w:tcW w:w="1152" w:type="dxa"/>
            <w:vAlign w:val="center"/>
          </w:tcPr>
          <w:p w14:paraId="667013C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橙色</w:t>
            </w:r>
          </w:p>
        </w:tc>
        <w:tc>
          <w:tcPr>
            <w:tcW w:w="3240" w:type="dxa"/>
            <w:vAlign w:val="center"/>
          </w:tcPr>
          <w:p w14:paraId="639E60A3">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累计值达报警值85%或速率加速</w:t>
            </w:r>
          </w:p>
        </w:tc>
        <w:tc>
          <w:tcPr>
            <w:tcW w:w="1416" w:type="dxa"/>
            <w:vAlign w:val="center"/>
          </w:tcPr>
          <w:p w14:paraId="52720F6D">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每日2次以上</w:t>
            </w:r>
          </w:p>
        </w:tc>
        <w:tc>
          <w:tcPr>
            <w:tcW w:w="2500" w:type="dxa"/>
            <w:vAlign w:val="center"/>
          </w:tcPr>
          <w:p w14:paraId="05F402E6">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暂停开挖、反压回填、加设支撑</w:t>
            </w:r>
          </w:p>
        </w:tc>
      </w:tr>
      <w:tr w14:paraId="50FE5684">
        <w:tblPrEx>
          <w:tblW w:w="0" w:type="auto"/>
          <w:tblInd w:w="214" w:type="dxa"/>
          <w:tblCellMar>
            <w:top w:w="0" w:type="dxa"/>
            <w:left w:w="108" w:type="dxa"/>
            <w:bottom w:w="0" w:type="dxa"/>
            <w:right w:w="108" w:type="dxa"/>
          </w:tblCellMar>
        </w:tblPrEx>
        <w:trPr>
          <w:cantSplit/>
        </w:trPr>
        <w:tc>
          <w:tcPr>
            <w:tcW w:w="1152" w:type="dxa"/>
            <w:vAlign w:val="center"/>
          </w:tcPr>
          <w:p w14:paraId="1BD15FC0">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红色</w:t>
            </w:r>
          </w:p>
        </w:tc>
        <w:tc>
          <w:tcPr>
            <w:tcW w:w="3240" w:type="dxa"/>
            <w:vAlign w:val="center"/>
          </w:tcPr>
          <w:p w14:paraId="2B6B474A">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累计值达报警值或出现突变征兆</w:t>
            </w:r>
          </w:p>
        </w:tc>
        <w:tc>
          <w:tcPr>
            <w:tcW w:w="1416" w:type="dxa"/>
            <w:vAlign w:val="center"/>
          </w:tcPr>
          <w:p w14:paraId="4E2BFD81">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连续监测</w:t>
            </w:r>
          </w:p>
        </w:tc>
        <w:tc>
          <w:tcPr>
            <w:tcW w:w="2500" w:type="dxa"/>
            <w:vAlign w:val="center"/>
          </w:tcPr>
          <w:p w14:paraId="03991AF4">
            <w:pPr>
              <w:keepNext w:val="0"/>
              <w:keepLines w:val="0"/>
              <w:pageBreakBefore w:val="0"/>
              <w:widowControl w:val="0"/>
              <w:kinsoku/>
              <w:wordWrap/>
              <w:overflowPunct/>
              <w:topLinePunct w:val="0"/>
              <w:autoSpaceDE/>
              <w:autoSpaceDN/>
              <w:bidi w:val="0"/>
              <w:adjustRightInd/>
              <w:snapToGrid/>
              <w:jc w:val="both"/>
              <w:textAlignment w:val="auto"/>
              <w:rPr>
                <w:rFonts w:hint="eastAsia"/>
              </w:rPr>
            </w:pPr>
            <w:r>
              <w:rPr>
                <w:rFonts w:hint="eastAsia"/>
              </w:rPr>
              <w:t>停工撤离、启动应急预案</w:t>
            </w:r>
          </w:p>
        </w:tc>
      </w:tr>
    </w:tbl>
    <w:p w14:paraId="6F649FD8">
      <w:pPr>
        <w:keepNext w:val="0"/>
        <w:keepLines w:val="0"/>
        <w:pageBreakBefore w:val="0"/>
        <w:widowControl w:val="0"/>
        <w:kinsoku/>
        <w:wordWrap/>
        <w:overflowPunct/>
        <w:topLinePunct w:val="0"/>
        <w:autoSpaceDE/>
        <w:autoSpaceDN/>
        <w:bidi w:val="0"/>
        <w:adjustRightInd/>
        <w:snapToGrid/>
        <w:jc w:val="both"/>
        <w:textAlignment w:val="auto"/>
        <w:rPr>
          <w:rFonts w:hint="eastAsia"/>
        </w:rPr>
      </w:pPr>
    </w:p>
    <w:p w14:paraId="64ECB697">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 软土基坑风险综合防控优化策略</w:t>
      </w:r>
    </w:p>
    <w:p w14:paraId="5F271409">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5.1 勘察设计阶段风险前置管控</w:t>
      </w:r>
    </w:p>
    <w:p w14:paraId="47ACC182">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5.2 施工过程精细化管控 </w:t>
      </w:r>
    </w:p>
    <w:p w14:paraId="7DC4AAE5">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 xml:space="preserve">5.3 信息化系统迭代升级 </w:t>
      </w:r>
    </w:p>
    <w:p w14:paraId="32524CD8">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5.4 人工巡查与自动化监测互补</w:t>
      </w:r>
    </w:p>
    <w:p w14:paraId="2FD69973">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r>
        <w:rPr>
          <w:rFonts w:hint="eastAsia"/>
        </w:rPr>
        <w:t>结论： 参考文献：</w:t>
      </w:r>
    </w:p>
    <w:p w14:paraId="64F50EBF">
      <w:pPr>
        <w:keepNext w:val="0"/>
        <w:keepLines w:val="0"/>
        <w:pageBreakBefore w:val="0"/>
        <w:widowControl w:val="0"/>
        <w:kinsoku/>
        <w:wordWrap/>
        <w:overflowPunct/>
        <w:topLinePunct w:val="0"/>
        <w:autoSpaceDE/>
        <w:autoSpaceDN/>
        <w:bidi w:val="0"/>
        <w:adjustRightInd/>
        <w:snapToGrid/>
        <w:ind w:firstLine="420" w:firstLineChars="200"/>
        <w:jc w:val="both"/>
        <w:textAlignment w:val="auto"/>
        <w:rPr>
          <w:rFonts w:hint="eastAsia"/>
        </w:rPr>
      </w:pPr>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0B3332E0"/>
    <w:rsid w:val="3B0B4C3D"/>
    <w:rsid w:val="46C740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至尊宝。</cp:lastModifiedBy>
  <cp:revision>0</cp:revision>
  <dcterms:created xsi:type="dcterms:W3CDTF">2026-10-29T16:44:01Z</dcterms:created>
  <dcterms:modified xsi:type="dcterms:W3CDTF">2026-10-29T17:22:03Z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74F006B31AA344DCAA3AB0368349A34D_12</vt:lpwstr>
  </property>
  <property fmtid="{D5CDD505-2E9C-101B-9397-08002B2CF9AE}" pid="3" name="KSOProductBuildVer">
    <vt:lpwstr>2052-12.1.0.28505</vt:lpwstr>
  </property>
  <property fmtid="{D5CDD505-2E9C-101B-9397-08002B2CF9AE}" pid="4" name="KSOTemplateDocerSaveRecord">
    <vt:lpwstr>eyJoZGlkIjoiNGMyMDM0OWViNjk3MWYxMmFkMDgxMTg5ZDcyYjU5OGMiLCJ1c2VySWQiOiIzMTA0NzM2NDgifQ==</vt:lpwstr>
  </property>
</Properties>
</file>