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F796678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数字化技术给文物陈列展览带来了新的可能性，在扩大展陈边界的同时加强了观众的参与体验，但是落地过程中也存在着不少的现实困境。从内容和技术、数据和共享、运营三个方面展开陈列展览数字化改造的现状调查，分析出现实问题的形式化、孤岛化、转译生硬、主次失衡和运营短效等，针对以上问题提出内容回归、数据筑基、分层供给、体验再平衡、运营可持续的陈列展览数字化改造途径。数字化赋能成效的好坏是由技术手段与展陈本体深度结合决定的，只有以藏品价值为根、以观众需求为本，才会完成从“炫技”到“育人”的根本性转变。</w:t>
      </w:r>
    </w:p>
    <w:p w14:paraId="4EE6CAF1">
      <w:pPr>
        <w:rPr>
          <w:rFonts w:hint="eastAsia"/>
        </w:rPr>
      </w:pPr>
    </w:p>
    <w:p w14:paraId="02FA18D5">
      <w:pPr>
        <w:rPr>
          <w:rFonts w:hint="eastAsia"/>
        </w:rPr>
      </w:pPr>
      <w:r>
        <w:rPr>
          <w:rFonts w:hint="eastAsia"/>
        </w:rPr>
        <w:t>2.1内容归位——深耕藏品本体，重构场景叙事</w:t>
      </w:r>
    </w:p>
    <w:p w14:paraId="721496BA">
      <w:pPr>
        <w:rPr>
          <w:rFonts w:hint="eastAsia"/>
        </w:rPr>
      </w:pPr>
      <w:r>
        <w:rPr>
          <w:rFonts w:hint="eastAsia"/>
        </w:rPr>
        <w:t>策展团队必须彻底抛弃以技术为中心的旧有思维模式，内容整理工作必须在购买数字化设备之前完成。策展人整理展品所包含的历史线索、工艺特点以及文化内涵之后，技术团队根据叙事主线决定数字化展示的形式。连续叙述的逻辑要贯穿于整个展览路线之中，依靠数字技术的运用来讲好故事，不能只用数字技术制造视觉上的噱头，藏品的解说要依靠场景化、故事化的叙述才能达到最好的效果。策展人、文物研究者和技术开发人员应当在项目立项之初就进行协同研讨，冲破策展和技术开发各自为政的局面，每一个数字交互展项都必须有相应的藏品史料做支撑，这样才能让观众在体验过程中产生稳定、有历史依据的认知。隋唐大运河文化博物馆创建的“一粒米的漕运之旅”项目是此类项目的典型代表作品，本项目没有大量使用各种光影设备，策展团队先搭建起完整的叙事链条，从漕运制度、粮食转运史料入手，再借助环幕投影、互动漫游等数字化技术把粮食从征收、水运到入仓的过程转化为可以感受的沉浸式体验。观众跟着叙事线了解隋唐漕运体系工程的价值，数字媒介一直服务于藏品、史料的解释主线，不会脱离展览主题而制造出视觉冲击。工作模式可以防止出现数字展项内容大于形式的状况，使观众对展览有深刻的文化印象，最终文物价值依靠数字载体进行传递。</w:t>
      </w:r>
    </w:p>
    <w:p w14:paraId="65EA659C">
      <w:pPr>
        <w:rPr>
          <w:rFonts w:hint="eastAsia"/>
        </w:rPr>
      </w:pPr>
    </w:p>
    <w:p w14:paraId="1CB2CD73">
      <w:pPr>
        <w:rPr>
          <w:rFonts w:hint="eastAsia"/>
        </w:rPr>
      </w:pPr>
    </w:p>
    <w:p w14:paraId="6089C1F4">
      <w:pPr>
        <w:rPr>
          <w:rFonts w:hint="eastAsia"/>
        </w:rPr>
      </w:pPr>
      <w:r>
        <w:rPr>
          <w:rFonts w:hint="eastAsia"/>
        </w:rPr>
        <w:t>2.5运营可持续——多元投入并举，长效迭代机制</w:t>
      </w:r>
    </w:p>
    <w:p w14:paraId="6225E09C">
      <w:pPr>
        <w:rPr>
          <w:rFonts w:hint="eastAsia"/>
        </w:rPr>
      </w:pPr>
      <w:r>
        <w:rPr>
          <w:rFonts w:hint="eastAsia"/>
        </w:rPr>
        <w:t>数字化展示成果长久增值的保证，是项目全生命周期运营保障体系的全部。运营预算必须和项目的立项同步制定，设备保养、内容更新、观众调查、观众评价等工作也要常态化管理。场馆拓宽资金来源途径，财政专项拨款、社会公益捐赠、馆际联合共建资金三者结合减少单一财政拨款中断导致的停摆风险。常态化的评价和动态更新机制要持续运作，依靠观众的问卷、后台的数据、现场的反馈意见来不断改进展项，使数字内容的传播力能够保持长久。运营思维要贯穿项目从策划到落地维护全过程，一次性建成的工程变成了长久的文化公共工程，文物数字化的育人价值才能得到实现。</w:t>
      </w:r>
    </w:p>
    <w:p w14:paraId="304B45E6">
      <w:pPr>
        <w:rPr>
          <w:rFonts w:hint="eastAsia"/>
        </w:rPr>
      </w:pPr>
    </w:p>
    <w:p w14:paraId="3DA8630A">
      <w:pPr>
        <w:rPr>
          <w:rFonts w:hint="eastAsia"/>
        </w:rPr>
      </w:pPr>
    </w:p>
    <w:p w14:paraId="227AB422">
      <w:pPr>
        <w:rPr>
          <w:rFonts w:hint="eastAsia"/>
        </w:rPr>
      </w:pPr>
      <w:r>
        <w:rPr>
          <w:rFonts w:hint="eastAsia"/>
        </w:rPr>
        <w:t>结语</w:t>
      </w:r>
    </w:p>
    <w:p w14:paraId="3BE0763D">
      <w:pPr>
        <w:rPr>
          <w:rFonts w:hint="eastAsia"/>
        </w:rPr>
      </w:pPr>
      <w:r>
        <w:rPr>
          <w:rFonts w:hint="eastAsia"/>
        </w:rPr>
        <w:t>数字化技术是文物陈列展览创新的一种手段，不是展览策划的目的。数字展项内容叙事虚化、资源数据断层、复合型人才缺乏、虚实展览关系混乱、后期运维机制弱化等现状显示，文博人要想使技术赋能真正发挥作用，就必须要有对待文物价值内核的敬畏之心，还要有对公众观看展览需求的考量。只有坚持内容优先的策展理念，就文物数据共享标准进行系统的建设，依靠馆校合作打造人才培育体系，科学规划展厅虚实展览路线，建立多条渠道的长效运维资金保障体系，数字化载体才可以真正服务于文物内涵的解读，不能仅仅作为展厅里的装饰性视觉符号。文博数字化转型的每一步推进，都应当以文化遗产的活态传承作为评判标尺。技术与文物展陈深度融合之后，目的就是让公众的历史认识得到提高，中华优秀传统文化得以不断的流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235F50"/>
    <w:rsid w:val="6A235F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2026-10-29T13:16:00Z</dcterms:created>
  <dcterms:modified xsi:type="dcterms:W3CDTF">2026-10-29T13:17:32Z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7E7F6205255A4C99BEEA2FA2B57A6F8C_11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