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502561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r>
        <w:rPr>
          <w:rFonts w:hint="eastAsia"/>
        </w:rPr>
        <w:t>数字化技术赋能文物陈列展览的实践困境与优化策略</w:t>
      </w:r>
    </w:p>
    <w:p w14:paraId="4A1F5B8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数字化技术给文物陈列展览带来新的可能，对于拓宽展陈范围，提升观众的参与感越来越明显，但是落地的过程中也存在着不少现实的问题。从内容和技术、数据和共享、人才和运营等各方面入手，梳理目前陈列展览数字化改造的实际情况，分析出现形式化、孤岛化、人才匮乏、主次不分、运营短效等问题的原因，进而提出内容回归、数据筑基、人才蓄能、体验再平衡、运营可持续的陈列展览数字化改造优化路径。数字化赋能成果的实现要依靠技术手段同展陈本体深度契合，只有把藏品价值当作根基，以观众需求为向导，才能达成“炫技”到“育人”的飞跃。</w:t>
      </w:r>
    </w:p>
    <w:p w14:paraId="36B65F8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关键词：数字化技术；文物陈列展览；实践困境；优化策略；观众体验</w:t>
      </w:r>
    </w:p>
    <w:p w14:paraId="6AEE996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引言陈列展览是文物走出库房、走向社会的主要途径，陈列展览叙事的好坏直接影响到文化遗产传播的效果。近些年来虚拟现实、数字孪生、三维扫描、智慧导览这些技术大量涌现之后，让古老的文物有了可以感知、可以触摸的翅膀，使展览由静态陈列变成动态交互。但是由于技术的快速发展，部分展馆出现了重设备轻内容、重形式轻内涵的倾向，数字成果的利用率低、更新速度慢的状况日益明显。怎样使数字化服务文物的价值阐释，而不仅仅是展览的装饰品，已经成为了必须解决的现实问题。</w:t>
      </w:r>
    </w:p>
    <w:p w14:paraId="50F47A5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1数字化技术赋能文物陈列展览的实践困境</w:t>
      </w:r>
    </w:p>
    <w:p w14:paraId="2A4FD5B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1.1技术铺陈有余，内容叙事不足</w:t>
      </w:r>
    </w:p>
    <w:p w14:paraId="4DB1DAA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数字化时代加快了信息技术的传播和交流的速度，博物馆文藏可以以更加直观、形象的方式向大众呈现出来，突出馆藏文物所承载的历史和文化内涵，从而让更多的人都能感受到它所特有的魅力。不但可以提升社会各方面的对文化遗产的关注程度，还能加大民众对于文化遗产保护工作的</w:t>
      </w:r>
      <w:bookmarkStart w:id="0" w:name="_GoBack"/>
      <w:bookmarkEnd w:id="0"/>
      <w:r>
        <w:rPr>
          <w:rFonts w:hint="eastAsia"/>
          <w:lang w:val="en-US" w:eastAsia="zh-CN"/>
        </w:rPr>
        <w:t>投入。但是走进当下很多的展馆，触控屏、投影幕以及电子沙盘一般会处于较为突出的位置，观众的视线也大多被光影所吸引，很少会去看展品。数字化设备越密集，内容阐释的不足就越明显。有部分场馆把技术运用当作设备的堆砌，把高清图片、全景视频直接搬上屏幕，展陈叙事依旧停留在对信息的堆砌上，藏品背后的历史脉络、工艺逻辑、精神内核都被弱化了。技术的“加法”并没有带来认知的“乘法”，观众观展之后一般都会产生“看过很多，记得很少”的普遍印象。缺少了内容生产这条内容链路，造成内容与技术的脱节就会导致困境出现。</w:t>
      </w:r>
    </w:p>
    <w:p w14:paraId="32BB333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1.2数据壁垒森严，标准共享缺位</w:t>
      </w:r>
    </w:p>
    <w:p w14:paraId="33724E7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文物数据是文物数字化展示的根基材料，各场馆的数据建设都处于各行其是的状态。藏品登记著录标准没有统一，同一件器物在不同的博物馆所给出的信息颗粒度存在很大差异，三维模型、高清视频等资源的格式多种多样，接口封闭，不能跨馆使用。由于没有形成共享的数据机制，本可以实现大规模的数据资产，却只能被闲置成为库存，重复采集、重复建设的现象时有发生。馆际协作只是停留在展览互借的表层，数据层面上的深度联通迟迟没有打通，造成整个资源利用效率的提高受到影响。</w:t>
      </w:r>
    </w:p>
    <w:p w14:paraId="0ED3639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1.3价值转译生硬，传播适配不足</w:t>
      </w:r>
    </w:p>
    <w:p w14:paraId="0C375EA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p>
    <w:p w14:paraId="3B408C3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数字化展陈肩负文物信息转译、文化内涵传递的任务，搭建起与各种受众人群的沟通桥梁，但是目前很多数字展项的阐释转化工作还存在着严重的脱节现象。研究者拥有丰富的文物原生史料，但是不能把繁杂的学术语言转译成大众可以理解的叙事文本，内容开发人员对大众传播逻辑有一定的掌握，但是脱离文物原生语境进行历史信息的简化，两者缺少严谨的转译标准来约束。根据不同的受众群体进行分层设计的缺失，致使数字内容长期使用一种叙述方式，不能满足不同认知水平受众的需求。缺少标准的阐释框架，会使数字展览走向过于简单或者过于复杂两个极端，文物所蕴含的深刻文化内涵在数字化转化时也会产生损耗。</w:t>
      </w:r>
    </w:p>
    <w:p w14:paraId="6532750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1.4炫技冲击本体，虚实主次失当</w:t>
      </w:r>
    </w:p>
    <w:p w14:paraId="131E52E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沉浸式体验成了部分场馆的范本，声光电的特效被不断叠加，虚拟场景的视觉效果比文物本身更强烈。观众是为特效而来的，但是并不为文物停留，展览的价值取向发生了偏移。虚实比例失当还会造成观众在观展时出现观展节奏的混乱，观众会花很多时间在交互环节上，而留给实物阅读以及深层次思考的时间却越来越少。有些数字展项同展线的主题关联度不高，存在着为用而用的拼贴痕迹，技术的喧宾夺主并没有提高阐释的效果，反而削弱了展览应有的庄重和深刻。</w:t>
      </w:r>
    </w:p>
    <w:p w14:paraId="501E1F1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1.5建设热度高企，运营后劲不足</w:t>
      </w:r>
    </w:p>
    <w:p w14:paraId="3B106E3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数字建设工程在立项之初投入较大，但是落地之后的维护更新很容易被忽略。大部分的数字展项一经推出便达到顶峰，内容多年不更新，设备出现故障之后修复速度慢，互动体验也受到了影响。重建设、轻运营的路径依赖，造成一次性投入不能产生持久的效果，资金来源单一、绩效考核缺位又使建后冷清、用时热闹的现象越来越严重。数字成果生命周期管理的缺失，造成前期的大额投资后价值下降的隐患。</w:t>
      </w:r>
    </w:p>
    <w:p w14:paraId="7ACBB96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2数字化技术赋能文物陈列展览的优化策略</w:t>
      </w:r>
    </w:p>
    <w:p w14:paraId="20782D1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2.1内容归位——深耕藏品本体，重构场景叙事</w:t>
      </w:r>
    </w:p>
    <w:p w14:paraId="63463A3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策展团队应该彻底抛弃技术为先的传统思维模式，内容整理工作应该在数字化设备购买之前就做好。策展人员对展品所蕴含的历史脉络、工艺特点和文化内容进行整理之后，技术团队按照叙事主线来确定数字化展示的形式。连续的叙述逻辑要贯穿整个展线，用数字技术来辅助讲故事，不能只用数字技术制造视觉噱头，藏品的解释依靠场景化、故事化的叙述才能充分释放。策展人员、文物研究者和技术开发人员必须在项目立项之初就开展协同讨论，打破策展与技术开发相互分离的局面，每一个数字交互展项都要有对应的藏品史料做支撑，使观众从感官的体验中产生稳定的、有历史依据的认知。隋唐大运河文化博物馆所创设的“一粒米的漕运之旅”项目属于该类项目代表作，该项目并未大量堆砌各种光影设备，策展团队先构建起完整的叙事链条，从漕运制度、粮食转运史料入手，再利用环幕投影、互动漫游等数字化的技术手段把粮食从征收、水运到入仓的整个过程转变为可以体验的沉浸式体验。观众在交互中跟随叙事线理清隋唐漕运体系工程的价值，数字媒介一直服务于藏品、史料阐释的主线，不会脱离展览的主题去制造视觉上的冲击。工作模式可以避免数字展项的内容大于形式的现象，让观众在参观之后对展览有清晰的文化记忆，最终达到文物价值依靠数字载体的传递。</w:t>
      </w:r>
    </w:p>
    <w:p w14:paraId="255F171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2.2数据筑基——统一标准体系，打通共享脉络</w:t>
      </w:r>
    </w:p>
    <w:p w14:paraId="5954747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分散独立的数据建设模式会造成无法打破的数据孤岛，统一规范的创建是文博数字化资源流通的前提。行业主管部门要不断健全文物采集、著录归档、存储管理的规范，制订三维模型、高清影像资源质量等级标准以及数据接口标准，为跨馆数据共享扫清技术上的障碍。具有条件的区域可以建立区域性文物数据汇聚平台，平台对区域内各个博物馆的数字藏品进行集中储存、分类保管和授权调用，由于重复扫描、重复建模所造成的资源浪费可以得到控制。馆际之间要建立数据共享协议，各方在协议中对数字资源的使用范围、著作权归属以及安全控制的有关事项作出明确规定，文物数据资源在安全可控的情况下持续流转，静态的、被长期封存的数字文物资源会不断地产生公共传播的价值。景德镇御窑博物院创建的“御窑•数据基因库”项目给其提供了可参照的路径，该平台对御窑遗址出土的瓷片标本实行统一的扫描采集、元数据著录、三维模型输出标准，把分散在考古工地、库房以及合作单位里的标本数据集中起来存入数据库，创建起包含标本影像、纹饰图谱和工艺信息的一套标准资源库。平台实行分级授权的方式，合作文博单位、研究人员根据权限可以对标准模型进行专题展览、学术研究、科普创作，防止出现多个单位重复对同一个标本进行数字化采集的情况。标准化底座和授权共享机制一起实行以后，分散孤立的陶瓷文物数据就被连接起来了，整个地区的文博资源整体利用效率有明显的提高。</w:t>
      </w:r>
    </w:p>
    <w:p w14:paraId="39B58C4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2.3阐释适配——分级转译叙事，分层供给内容</w:t>
      </w:r>
    </w:p>
    <w:p w14:paraId="7E4EFF4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文物信息由学术文本转为公众可以感知的数字叙事，就必须要有系统而严密的价值转译体系。策展团队要根据受众的认知特点来建立分级阐释框架，对不同年龄、知识结构的观众给出相应的层次化的解说版本，在保证历史事实真实的基础上调整叙事的层次。文物的原始史料要先经过初步的解释性检验，然后才由内容策划人员进行叙事重组，所有的数字脚本都要经过文博专家的审核把关，避免出现信息失真或者任意解构的情况。数字展项内部可设有信息切换按钮，观众可自行决定所见为基本介绍、深入阅读或是学术考证的不同层次的信息，达到轻量级参观以及深入学习的目的。成都博物馆“花重锦官城”常设展数字交互部分为本研究提供实践依据，展览配套的触控查询系统设有三层信息链路，普通观众先看器物简介与故事梗概，有研学需求的使用者可转至查阅考古简报、纹饰考证的相关资料。整套阐释文本由考古研究人员、展陈策划一起打磨定稿，按照受众的需求将内容进行分层投放，一方面可以防止专业内容的门槛太高导致理解困难，另一方面可以防止文化内涵被通俗化改造时被片面地弱化，保证文物信息在数字化的传播过程中得到真实的传递。</w:t>
      </w:r>
    </w:p>
    <w:p w14:paraId="58FC73E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2.4体验再平衡——以观众为中心，重构虚实互补动线</w:t>
      </w:r>
    </w:p>
    <w:p w14:paraId="79A99F0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沉浸式数字体验边界划定要依照文物自身属性以及观众真实的观展需求来确定。策展团队在选择数字化手段之前，首先要考虑这个技术能不能帮助观众理解展品的信息，而不能是单纯追求视听效果的堆砌。虚实互补的思想应该贯穿整个展览线路的布局，数字展项应该作为实物展品解释的延伸载体，不能取代文物原件的中心地位，在文物细节难以用肉眼看出，历史场景无法原样复刻的节点上，数字内容弥补实物展陈信息的不足，同时留出给观众安静地看说明文字、独自思考的空间。展厅观展节奏应该有张有弛，交互展项的安排要服从展览主线叙事，观众可由沉浸式的体验过渡到安静思考的状态，观看展品的同时也能进行思考。安康博物馆MR全息文物体验中心的虚实动线安排给其他博物馆的数字化展陈建设提供了可以借鉴的样本，展厅没有使用混合现实技术覆盖全部展线，MR体验点位隐藏在实体陈列中段，与周围的出土文物标本呼应。观众要先看完实体的文物之后，才能进入到全息的互动区域观看器物的复原样貌以及工艺拆解动画，最后回到展厅内的实物展品、图文说明。交互时长被预先设定，不会影响观众的品读文物时间，虚拟的内容只是对实物上无法呈现的工艺信息进行解释。排布方式避开了数字特效对文物本体的压制，观众也不会被连续的声光刺激所束缚，在虚实交替的节奏中平稳地吸收展览所传递的历史信息。</w:t>
      </w:r>
    </w:p>
    <w:p w14:paraId="578F602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2.5运营可持续——多元投入并举，长效迭代机制</w:t>
      </w:r>
    </w:p>
    <w:p w14:paraId="7365A29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数字化展陈成果长久的增值要依靠覆盖项目整个生命周期的运营保障体系。运营预算应与项目立项一起制定，设备保养、内容更新、观众调查、观众评估等工作也应进行常态化管理。场馆拓宽资金筹集途径，财政专项拨款、社会公益资助、馆际联合共建资金三者结合起来可以减少单一财政拨款中断造成停摆的风险。常态化的评价以及动态更新体系要保持运转，观众问卷、后台交互数据、现场反馈意见一起支持展项的优化改进，数字内容可以保持长久的传播力。运营思维要贯穿于项目从策划到落地维护的全过程之中，一次性建设的工程就变成了长久的文化公共项目，文物数字化的育人功能才能得以实现。芜湖市博物馆和安徽文投数字创意公司合作运营的试点模式，给长效运营模式赋予了实践样本，项目维持博物馆公益属性不变，企业承接数字展项运维、内容迭代、线上拓展等增量业务，资金由财政基础经费以及市场化合作收益共同承担。双方约定每季度收集观众停留时长、点击量、满意度问卷数据，联合召开复盘会，对热度下降、信息过时的数字模块进行内容更新，对不符合维修标准的设备进行协议内定期巡检保养。摆脱重建设轻运维的惯性，数字展厅不会因为项目竣工而陷入停滞状态，不断更新的数字展览会一直能满足公众的文化需求，延长数字项目的服务期。</w:t>
      </w:r>
    </w:p>
    <w:p w14:paraId="5FC1478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结语</w:t>
      </w:r>
    </w:p>
    <w:p w14:paraId="69C5B41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数字化技术只是文物陈列展览创新的实现途径，并不是展览策划的目的。数字展项的内容叙事虚化、资源数据断层、复合型人才匮乏、虚实展览关系失调、后期运维机制薄弱等现实问题表明，文博人要让技术赋能发挥实效，就必须在对待文物价值内核的态度上有所敬畏，在把握公众观展需求方面有所考虑。只有坚持内容优先的策展思路，对文物数据共享标准加以完善，依托馆校合作创建人才培育体系，科学规划展厅虚实展线，搭建多条渠道的长效运维资金保障体系，数字化载体才可服务于文物的内涵阐释，不能成为展厅里装饰性的视觉符号。文博数字化转型的每一个动作都要以文化遗产活态传承为标准来评判。技术同文物展览深度融合之后，最终会达到公众历史认识的提高以及中华优秀传统文化的稳定流传。</w:t>
      </w:r>
    </w:p>
    <w:p w14:paraId="3BA5DAE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lang w:val="en-US" w:eastAsia="zh-CN"/>
        </w:rPr>
      </w:pPr>
      <w:r>
        <w:rPr>
          <w:rFonts w:hint="eastAsia"/>
          <w:lang w:val="en-US" w:eastAsia="zh-CN"/>
        </w:rPr>
        <w:t>参考文献：</w:t>
      </w:r>
    </w:p>
    <w:p w14:paraId="147D635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lang w:val="en-US" w:eastAsia="zh-CN"/>
        </w:rPr>
      </w:pPr>
      <w:r>
        <w:rPr>
          <w:rFonts w:hint="default"/>
          <w:lang w:val="en-US" w:eastAsia="zh-CN"/>
        </w:rPr>
        <w:t>[1]贾子艺. 数字化时代博物馆文物保护和传承路径研究[J].中国民族博览,2025,(1):256-258.</w:t>
      </w:r>
    </w:p>
    <w:p w14:paraId="01CFE3D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lang w:val="en-US" w:eastAsia="zh-CN"/>
        </w:rPr>
      </w:pPr>
      <w:r>
        <w:rPr>
          <w:rFonts w:hint="default"/>
          <w:lang w:val="en-US" w:eastAsia="zh-CN"/>
        </w:rPr>
        <w:t>[2]吴尼. 博物馆文物陈列展览的设计要点实践研究[J].收藏,2024,(11):129-131.</w:t>
      </w:r>
    </w:p>
    <w:p w14:paraId="5CA54BE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lang w:val="en-US" w:eastAsia="zh-CN"/>
        </w:rPr>
      </w:pPr>
      <w:r>
        <w:rPr>
          <w:rFonts w:hint="default"/>
          <w:lang w:val="en-US" w:eastAsia="zh-CN"/>
        </w:rPr>
        <w:t xml:space="preserve">[3]朱琼.浅析数字化时代的博物馆文物陈列与保管[N].中国文化报,2024-04-04(007). </w:t>
      </w:r>
    </w:p>
    <w:p w14:paraId="02FF679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lang w:val="en-US" w:eastAsia="zh-CN"/>
        </w:rPr>
      </w:pPr>
      <w:r>
        <w:rPr>
          <w:rFonts w:hint="default"/>
          <w:lang w:val="en-US" w:eastAsia="zh-CN"/>
        </w:rPr>
        <w:t>[4]朱卫华. 数字化时代下博物馆文物陈列与保管分析[J].中国民族博览,2023,(24):244-246.</w:t>
      </w:r>
    </w:p>
    <w:p w14:paraId="09EEF61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lang w:val="en-US" w:eastAsia="zh-CN"/>
        </w:rPr>
      </w:pPr>
      <w:r>
        <w:rPr>
          <w:rFonts w:hint="default"/>
          <w:lang w:val="en-US" w:eastAsia="zh-CN"/>
        </w:rPr>
        <w:t>[5]赵国瑞. 数字化时代下博物馆文物陈列与保管的探究[J].上海轻工业,2023,(6):105-107.</w:t>
      </w:r>
    </w:p>
    <w:p w14:paraId="473BE73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554CC6"/>
    <w:rsid w:val="134578A4"/>
    <w:rsid w:val="160E21CF"/>
    <w:rsid w:val="19554CC6"/>
    <w:rsid w:val="29E4176D"/>
    <w:rsid w:val="37202554"/>
    <w:rsid w:val="48F272A6"/>
    <w:rsid w:val="4C9E35A6"/>
    <w:rsid w:val="75B23A9A"/>
    <w:rsid w:val="7C947A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12</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2026-10-29T12:49:00Z</dcterms:created>
  <dcterms:modified xsi:type="dcterms:W3CDTF">2026-10-29T13:04:25Z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D2726380DC9D4ED2AC6BC66A009580F6_13</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