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493B67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由于在运水电站送出线路重合闸装置普遍存在着闭锁逻辑错误、检定方式固定不变、合闸命令回路接点配置不合理等缺陷，本文在分析拒动、误动典型事故机理的基础上，按照DL/T相关继电保护标准的要求，把电网故障特点、机组暂态过程以及重合闸决策逻辑纳入到协同约束之中，提出一套适合机组安全边界要求的重合闸改进方案。在丰枯水期、下游小水电反向送电等复杂的运行工况下，从自适应检定逻辑、闭锁回路重构、机网时序配合、出口信号接口四个角度进行技术设计，提出相应的试验方案。该方案可以保证在电网故障之后快速恢复供电，避免机组超速或者非同期合闸的危险，在同样的运行环境里给同类型有小水电并网的水电站重合闸改造提供思路以及技术借鉴。</w:t>
      </w:r>
    </w:p>
    <w:p w14:paraId="4E5E627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关键词：水电站；线路重合闸；检同期；检无压；机网时序；自适应重合闸</w:t>
      </w:r>
    </w:p>
    <w:p w14:paraId="31175A2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部分主要对水电站送出线路重合闸改造进行约束分析以及提出设计方案，主要针对目前水电站送出线路重合闸检定方式固定、闭锁逻辑复杂、机网时序不匹配的状况，提出了一个具有工况自适应的重合闸改进方案。在区域电网内小水电多点并网、电站运行方式随着来水的大幅变化而变化的情况下，传统的固定重合闸模式已经不能很好地满足电网快速复电以及机组防过速、防非同期冲击的要求。方案考虑电网快速复电要求以及机组防过速、防非同期冲击的安全约束，利用闭锁逻辑精简重构、机网时序窗口匹配、独立出口接口改善，从逻辑设计和硬件架构两个方面降低拒动、误动的风险。经由配套试验方案的检验可知，该方案可以适应电站从丰期到枯期的运行特点，也可以应用于有小水电并网的其它送出线路。根据机组实测暂态数据不断更新整定界限，参照现场运行情况不断调整策略，可以提高重合闸策略工程适应性以及安全裕度。</w:t>
      </w:r>
    </w:p>
    <w:p w14:paraId="778F730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一、改造前系统分析与约束定义</w:t>
      </w:r>
    </w:p>
    <w:p w14:paraId="65BFDA5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（一）电站送出系统与重合闸现状</w:t>
      </w:r>
    </w:p>
    <w:p w14:paraId="0A3F7F9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本文的研究对象为110kV水电站送出系统，出线为双回路，主接线为扩大单元接线，两个主变高压侧通过GIS汇流，单回路出线有独立的断路器。原有的重合闸集成在线路保护插件中，检无压、检同期只能在现场手动切换，运行过程中很少随工况调整。闭锁回路直接使用厂家默认的串联逻辑，没有根据本站断路器的机构特性做校核，线路保护多次升级之后，重合闸启动回路与跳闸出口之间的配合情况没有同步复核，隐患隐藏。</w:t>
      </w:r>
    </w:p>
    <w:p w14:paraId="2020937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（二）现有重合闸路径的失效模式分析</w:t>
      </w:r>
    </w:p>
    <w:p w14:paraId="5EB75F1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重合闸异常是由三条耦合失效链一起造成的。拒动链上由于单相接地故障保护正确跳闸后，由于压力闭锁回路接点抖动使重合过程被中断，单个点故障误闭锁合法重合。启动信号由保护跳闸接点获得，冗余串联过多也会造成重合闸不能工作。</w:t>
      </w:r>
    </w:p>
    <w:p w14:paraId="6236A0A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误动链大多由合闸回路接点时序不一致引起，造成假合闸脉冲。开关站到机组LCU跨屏信号传递加大了风险，电压采集回路接线、极性错会造成非同期合闸，造成电网和机组的冲击。</w:t>
      </w:r>
    </w:p>
    <w:p w14:paraId="4082514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时机失配链是固定检定方式不能适应丰枯季节。丰水期负荷倒送时重合成功率低到 25% 左右，故障甩负荷之后机组转速迅速上升，检同期频差不断恶化，检无压长时间等待又会接近过速危险区，单个回路难以彻底解决。</w:t>
      </w:r>
    </w:p>
    <w:p w14:paraId="62A2944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（三）改造约束指标</w:t>
      </w:r>
    </w:p>
    <w:p w14:paraId="243201C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根据失效模式以及继电保护的相关规范，设置三个硬性限制条件。一是重合闸在机组过速保护定值之前必须完成合闸或者闭锁，不能无限期等待同期条件来使用，以降低甩负荷之后转速飞升的风险；二是检同期、检无压定值和对侧电站一起整定，使两侧电源的重合判定逻辑统一起来，防止两侧检定策略相冲突造成非同期合闸；三是对所有的闭锁判据进行防误动、防拒动双向校核，坚持“必要闭锁”的准则，不能随意加入没有根据的闭锁条件，保证保护的可靠性和灵敏度。</w:t>
      </w:r>
    </w:p>
    <w:p w14:paraId="7FBFC0E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二、改造方案设计</w:t>
      </w:r>
    </w:p>
    <w:p w14:paraId="1C0A430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（一）检定方式的自适应选择逻辑</w:t>
      </w:r>
    </w:p>
    <w:p w14:paraId="5F0958F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本次改造并不是直接更换保护装置，而是重新设计重合闸检定的逻辑。方案采用运行工况自适应切换机制，用丰枯水期判定、并网/孤网运行的倾向、机组当前出力做输入量，选择检无压或者检同期为主检定判据。丰水期机组出力充足、系统联系紧密的时候首先用检同期，抓住准同期合闸的时间窗，枯水期有反向送电、下游小水电自持运行、母线电压很难消失的情况，自动把检母线无压模式选出来，并且联动低周减载逻辑来配合使用。逻辑用连续周期内母线电压幅值、频率、机组出力的综合判别作为切换依据，增加人工干预的通道，用以强制整定出现异常的自动逻辑。对同杆双回出线的逻辑可以扩展为重合次序的判定，按照故障种类来决定合闸次序，避免双回同时合闸造成的叠加冲击。</w:t>
      </w:r>
    </w:p>
    <w:p w14:paraId="7660867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自适应逻辑不是把各种判据相加而成的，是根据电站长时间运行的特性而提炼出来的。丰枯工况判别使用历史水文资料、实时水位和来水趋势来确定机组的出力，用LCU实时采集的量作为机组的出力，母线电压和系统频率偏差率综合作为机组是否并网的依据。三类输入加权融合之后映射到检定策略表上，映射关系用典型工况离线仿真的回放来校验，边界工况下不会出现误切换的情况。为了抑制切换的振荡，逻辑里加入了切换的死区以及最小保持时间，在新策略满足持续判定条件之后才会执行。人工越权操作设就地、远方两级授权，操作记录同时上送至监控平台，可操作性及可追溯性兼顾。</w:t>
      </w:r>
    </w:p>
    <w:p w14:paraId="6345DE1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（二）闭锁回路的重构</w:t>
      </w:r>
    </w:p>
    <w:p w14:paraId="72AD058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根据拒动、误动两种失效途径来重新设计闭锁回路，使用的是“必要最小化”原则。对原有的闭锁条件逐个进行筛选，去掉缺少反措、规范支持的多余判定条件，把原来串联的压、位、保闭锁拆分为独立的校验分支，每一个分支的状态都可以单独上送，从而达到故障定位的目的，不能因为某个接点的错误而使所有的合法重合全部被锁住。对合闸命令回路的所有串联接点进行时序检测，有竞争风险的回路改成并联冗余结构或者独立的硬布线输出，从硬件上消除了接点时序不同产生虚假合闸脉冲的风险。重新定义出来的闭锁逻辑就形成了一个标准的逻辑框图，是进行图纸设计以及方案审查的技术依据。</w:t>
      </w:r>
    </w:p>
    <w:p w14:paraId="18E061E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重新构建时，对于每一个闭锁条件都要指明其边界。压力闭锁只在断路器操作气压达不到合闸可靠性的条件下投入，动作阈值根据机构参数重新计算，避开正常的运行压力区间；位置闭锁仅在断路器的位置状态无法被可靠地确定的时候启用，双位置继电器信号丢失的时候闭锁重合；保护闭锁将瞬时故障打开、永久故障持续闭锁两类情况分别用不同的延时定值来加以区分。三条分支用或逻辑一起接入总闭锁判据，任何一个分支的动作就可以使重合跳闸闭锁，各个分支的信号各自上传，利于查找故障。合闸出口回路改造同时解决接点竞争问题，用并联冗余接点分组来完成时序检测，只要有一个接点可靠动作就可以发出有效的合闸脉冲，不再需要多个接点保持严格的同步。</w:t>
      </w:r>
    </w:p>
    <w:p w14:paraId="687795C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（三）机网时序配合设计</w:t>
      </w:r>
    </w:p>
    <w:p w14:paraId="6BC393B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此部分为水电站侧方案与普通电网线路重合闸设计不同的主要部分。根据同型机组甩负荷过渡仿真模型得到故障切除后的机组转速上升曲线，确定重合闸允许动作时间区间，最小合闸时间、最大安全闭锁时间。当出现允许的时间内不能达到检定标准的时候，重合闸对机组控制装置发出闭锁信号，使调速系统提前介入，不允许长时间等待同期条件。该时序结构把线路保护装置，重合闸逻辑和机组调速系统当作一个协同体系，去掉了以往分别对各个装置进行整定的模式。</w:t>
      </w:r>
    </w:p>
    <w:p w14:paraId="051720A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时间边界取值由机组惯性常数和调速器响应特性来决定。甩负荷后转速上升的快慢是由机组转动惯量和导叶关闭规律共同决定的，在多组初始负荷转速仿真曲线基础上，把安全闭锁时限设为转速接近过速保护定值之前留有充足的裕度。最小合闸延时考虑线路电弧去游离的要求和同期条件形成的时间，延时过小容易引起电弧重燃，延时过大会造成频差不断增大。有效的重合窗口会随着运行工况的改变而变动，自适应逻辑一起修改窗口的上限和下限</w:t>
      </w:r>
      <w:r>
        <w:rPr>
          <w:rFonts w:hint="default"/>
          <w:vertAlign w:val="superscript"/>
          <w:lang w:val="en-US" w:eastAsia="zh-CN"/>
        </w:rPr>
        <w:t>[</w:t>
      </w:r>
      <w:r>
        <w:rPr>
          <w:rFonts w:hint="eastAsia"/>
          <w:vertAlign w:val="superscript"/>
          <w:lang w:val="en-US" w:eastAsia="zh-CN"/>
        </w:rPr>
        <w:t>1</w:t>
      </w:r>
      <w:r>
        <w:rPr>
          <w:rFonts w:hint="default"/>
          <w:vertAlign w:val="superscript"/>
          <w:lang w:val="en-US" w:eastAsia="zh-CN"/>
        </w:rPr>
        <w:t>]</w:t>
      </w:r>
      <w:r>
        <w:rPr>
          <w:rFonts w:hint="eastAsia"/>
          <w:lang w:val="en-US" w:eastAsia="zh-CN"/>
        </w:rPr>
        <w:t>。当窗口末尾还没有达到检定标准时，装置发出闭锁信号，上传故障码，使调速系统抑制转速上升，避免进入危险区域。整个时序逻辑全部使用站内对时信号，可以保证保护、重合闸和机组控制的时间序列可重现、可追溯。</w:t>
      </w:r>
    </w:p>
    <w:p w14:paraId="564E0BC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（四）出口回路与信号接口</w:t>
      </w:r>
    </w:p>
    <w:p w14:paraId="02EFC99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方案给出重合闸出口同断路器操作回路、机组LPU、监控系统之间的接口结构。自动重合指令使用独立的硬布线通道与保护跳闸出口通道分开，防止两个通道共用信号造成干扰。重合闸动作、闭锁、检定失败等状态信号单独传给监控系统，便于运行人员区分“条件不符合”和“强制闭锁”的两类工作状态，利于故障分析。跨屏传递的接点信号全部经过中间继电器隔离之后再做极性检验，减小接点之间互相干扰的风险。</w:t>
      </w:r>
    </w:p>
    <w:p w14:paraId="292BECD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出口回路支持就地以及远方的控制方式。就地手动重合按钮和自动重合按钮分别接同一出口回路，用切换开关实现互锁，不得同时发出两个指令。远方监控发出的合闸指令只是允许信号，不会直接控制出口回路，最终合闸的授权还要依靠装置本地的检定逻辑，从机制上防止远方误命令直接合闸。信号接口采用开关量遥信和事件记录并行的方式，遥信用来实时显示当前状态，事件记录用做事后分析，所有的信号都带有站控层的时间戳，使告警信息和装置内部的时序保持一致。接口留有硬接线联络通道，可以将闭锁、允许信号传送给LCU，为以后机网协同策略的升级提供空间</w:t>
      </w:r>
      <w:r>
        <w:rPr>
          <w:rFonts w:hint="default"/>
          <w:vertAlign w:val="superscript"/>
          <w:lang w:val="en-US" w:eastAsia="zh-CN"/>
        </w:rPr>
        <w:t>[</w:t>
      </w:r>
      <w:r>
        <w:rPr>
          <w:rFonts w:hint="eastAsia"/>
          <w:vertAlign w:val="superscript"/>
          <w:lang w:val="en-US" w:eastAsia="zh-CN"/>
        </w:rPr>
        <w:t>2</w:t>
      </w:r>
      <w:r>
        <w:rPr>
          <w:rFonts w:hint="default"/>
          <w:vertAlign w:val="superscript"/>
          <w:lang w:val="en-US" w:eastAsia="zh-CN"/>
        </w:rPr>
        <w:t>]</w:t>
      </w:r>
      <w:r>
        <w:rPr>
          <w:rFonts w:hint="eastAsia"/>
          <w:lang w:val="en-US" w:eastAsia="zh-CN"/>
        </w:rPr>
        <w:t>。</w:t>
      </w:r>
    </w:p>
    <w:p w14:paraId="41D2930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三、方案验证试验设计</w:t>
      </w:r>
    </w:p>
    <w:p w14:paraId="3AF46CD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（一）试验前置条件与试验方案规划</w:t>
      </w:r>
    </w:p>
    <w:p w14:paraId="63BA7CD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本方案用离线试验为主，带电试验为辅的思路进行验证，先做逻辑和回路传动试验，再做带电工况试验。离线阶段完成装置逻辑下装、闭锁逻辑核对，一个闭锁分支一个闭锁分支单独传动来检验判据投入、退出是否正确。带电试验前要对断路器操作回路的联动进行试验，主要检验跨屏接点的时序配合情况。试验全过程实行双人复核制，所有的回路改动、试验方案都用图纸加试验记录的形式留存下来，是验收的依据。</w:t>
      </w:r>
    </w:p>
    <w:p w14:paraId="4809758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试验在检修线路停电检修时间范围内进行，试验项目根据工况分层安排。检定方式切换试验在工况切换处做试验，模拟枯水期、丰水期的典型运行工况；闭锁回路、出口回路试验安排在停电窗口期的后半部分，并与送电计划一致。每一个试验方案以及验收判据要单独编制一份，试验数据逐项记录，当指标不能满足设计要求的时候停止试验，做逻辑以及回路的调整工作，所有离线项目通过验收之后才能开始带电验证。</w:t>
      </w:r>
    </w:p>
    <w:p w14:paraId="5A473D9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（二）功能验证与性能判定指标</w:t>
      </w:r>
    </w:p>
    <w:p w14:paraId="41E7641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试验选用了自适应检定逻辑切换、闭锁逻辑、出口回路这三个主要的部分。在仿真平台上用丰水期满发、枯水期停机、反向送电等典型的工况来检验检定策略自动切换的正确性，考核切换过程中无振荡、无误触发的情况。采用故障注入的方式对闭锁回路进行测试，考察拒动风险消除、误动通道封堵的可靠性。出口回路试验是依靠断路器实际分合操作进行的，在出口回路中采集合闸脉冲时序参数，并和设计指标做对比</w:t>
      </w:r>
      <w:r>
        <w:rPr>
          <w:rFonts w:hint="default"/>
          <w:vertAlign w:val="superscript"/>
          <w:lang w:val="en-US" w:eastAsia="zh-CN"/>
        </w:rPr>
        <w:t>[</w:t>
      </w:r>
      <w:r>
        <w:rPr>
          <w:rFonts w:hint="eastAsia"/>
          <w:vertAlign w:val="superscript"/>
          <w:lang w:val="en-US" w:eastAsia="zh-CN"/>
        </w:rPr>
        <w:t>3</w:t>
      </w:r>
      <w:r>
        <w:rPr>
          <w:rFonts w:hint="default"/>
          <w:vertAlign w:val="superscript"/>
          <w:lang w:val="en-US" w:eastAsia="zh-CN"/>
        </w:rPr>
        <w:t>]</w:t>
      </w:r>
      <w:r>
        <w:rPr>
          <w:rFonts w:hint="eastAsia"/>
          <w:lang w:val="en-US" w:eastAsia="zh-CN"/>
        </w:rPr>
        <w:t>。同期合闸验证在稳定的系统工作状态下做频差、压差、相角差是否符合整定值的校验。</w:t>
      </w:r>
    </w:p>
    <w:p w14:paraId="1EB8707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方案用量化的判定标准来作为验收的标准。自适应切换试验要求策略切换响应时间不超过设计范围，在边界工况中无频繁的翻转，闭锁试验分为永久故障和瞬时故障两种，没有误闭锁和漏闭锁的情况，出口回路合闸脉冲宽度、动作时序满足设计要求，跨屏接点不会产生假合闸信号，同期合闸时各项同步判据均在整定范围内，没有非同期合闸的风险。</w:t>
      </w:r>
    </w:p>
    <w:p w14:paraId="7FE5600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（三）方案局限性与后续优化方向</w:t>
      </w:r>
    </w:p>
    <w:p w14:paraId="3540C16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由于仿真模型简化假设的影响，目前的机舱甩负荷转速曲线以及实际过渡过程均与之存在偏差，安全时间窗口取值偏大，造成重合闸可用时间窗口被压缩。模型没有考虑尾水管压力脉动、导叶动作非线性等现场扰动，会使暂态仿真精度受到影响。自适应逻辑的人工越权操作过程只在装置上实现了，没有形成闭环的运行管理规范。以上情况对方案主体功能没有造成影响，不过属于以后需要改进的方向。</w:t>
      </w:r>
    </w:p>
    <w:p w14:paraId="4291E3E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后续可以获取现场多次甩负荷实测数据，对机组仿真模型进行标定，修正转速上升曲线，优化重合时间窗口，制定统一的操作规程，规定人工干预的条件、授权程序和记录要求，使装置逻辑与运行管理相匹配。可以使用多源运行数据对工况进行实时分析，改变策略阈值，依靠不断循环整定参数来提高自适应策略对于复杂工况的适应性</w:t>
      </w:r>
      <w:r>
        <w:rPr>
          <w:rFonts w:hint="default"/>
          <w:vertAlign w:val="superscript"/>
          <w:lang w:val="en-US" w:eastAsia="zh-CN"/>
        </w:rPr>
        <w:t>[4]</w:t>
      </w:r>
      <w:r>
        <w:rPr>
          <w:rFonts w:hint="eastAsia"/>
          <w:lang w:val="en-US" w:eastAsia="zh-CN"/>
        </w:rPr>
        <w:t>。</w:t>
      </w:r>
    </w:p>
    <w:p w14:paraId="594A5E9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结论：本文针对水电站送出线路重合闸改造展开约束分析与方案设计工作，针对现有的装置检定方式固定、闭锁逻辑多余、机网时序不一致的缺点，设计出一种具有工况自适应性的重合闸改进方案。方案兼顾电网快速复电的要求以及机组防过速、防非同期冲击的安全限制，采用闭锁逻辑精简重构、机网时序窗口匹配、独立出口接口优化的办法来消除拒动和误动的风险，符合继电保护可靠、灵敏、快速的设计思想。通过建立配套的试验方案进行论证可知，本方案可以符合电站丰枯交替运行特点，也可以推广到有小水电并网的其他送出线路。根据机组实测的暂态数据，利用机组实测的暂态数据对整定边界进行迭代优化，并根据现场运行信息不断对策略进行修正，可以提高重合闸策略的工程适用性、安全裕度。</w:t>
      </w:r>
    </w:p>
    <w:p w14:paraId="3E3C957B">
      <w:pPr>
        <w:rPr>
          <w:rFonts w:hint="default"/>
          <w:lang w:val="en-US" w:eastAsia="zh-CN"/>
        </w:rPr>
      </w:pPr>
      <w:bookmarkStart w:id="0" w:name="_GoBack"/>
      <w:bookmarkEnd w:id="0"/>
    </w:p>
    <w:sectPr>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4E40EF7"/>
    <w:rsid w:val="057529DA"/>
    <w:rsid w:val="06AB06FE"/>
    <w:rsid w:val="0951022B"/>
    <w:rsid w:val="0B1565EA"/>
    <w:rsid w:val="0DC67402"/>
    <w:rsid w:val="0E6025CB"/>
    <w:rsid w:val="0FC53CE9"/>
    <w:rsid w:val="10FC7A0C"/>
    <w:rsid w:val="110A3A14"/>
    <w:rsid w:val="15BC4E5A"/>
    <w:rsid w:val="16D503E4"/>
    <w:rsid w:val="1E11009B"/>
    <w:rsid w:val="1F5D5A23"/>
    <w:rsid w:val="21FB1255"/>
    <w:rsid w:val="23A93707"/>
    <w:rsid w:val="23EE5E61"/>
    <w:rsid w:val="2B91176C"/>
    <w:rsid w:val="30C80E93"/>
    <w:rsid w:val="322F63DF"/>
    <w:rsid w:val="32566459"/>
    <w:rsid w:val="34A37A6F"/>
    <w:rsid w:val="350F525A"/>
    <w:rsid w:val="396561F6"/>
    <w:rsid w:val="3A634EC7"/>
    <w:rsid w:val="3F22501A"/>
    <w:rsid w:val="425E118F"/>
    <w:rsid w:val="43716BA9"/>
    <w:rsid w:val="46F0277E"/>
    <w:rsid w:val="47B2458A"/>
    <w:rsid w:val="49136D17"/>
    <w:rsid w:val="49325F42"/>
    <w:rsid w:val="4B7033E4"/>
    <w:rsid w:val="4F2B3B05"/>
    <w:rsid w:val="4F3D659F"/>
    <w:rsid w:val="52145EE2"/>
    <w:rsid w:val="538114A4"/>
    <w:rsid w:val="54AE5DAD"/>
    <w:rsid w:val="57CA584B"/>
    <w:rsid w:val="5BBD3D11"/>
    <w:rsid w:val="5C8F7981"/>
    <w:rsid w:val="5DBB53CC"/>
    <w:rsid w:val="609F1996"/>
    <w:rsid w:val="610C5BEA"/>
    <w:rsid w:val="649B63FC"/>
    <w:rsid w:val="653501C5"/>
    <w:rsid w:val="68FD5D5B"/>
    <w:rsid w:val="6B743AC4"/>
    <w:rsid w:val="6C227DB7"/>
    <w:rsid w:val="6CE2153C"/>
    <w:rsid w:val="70763F9A"/>
    <w:rsid w:val="72A638AD"/>
    <w:rsid w:val="72F85BFE"/>
    <w:rsid w:val="78A155D2"/>
    <w:rsid w:val="79341B08"/>
    <w:rsid w:val="7A4E33A4"/>
    <w:rsid w:val="7A7A06ED"/>
    <w:rsid w:val="7AA4268F"/>
    <w:rsid w:val="7AEE6B12"/>
    <w:rsid w:val="7BA026E0"/>
    <w:rsid w:val="7BED6D2C"/>
    <w:rsid w:val="7EDD65A0"/>
    <w:rsid w:val="7EEF3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699</Words>
  <Characters>699</Characters>
  <Application>Microsoft Office Word</Application>
  <DocSecurity>0</DocSecurity>
  <Lines>0</Lines>
  <Paragraphs>0</Paragraphs>
  <ScaleCrop>false</ScaleCrop>
  <Company/>
  <LinksUpToDate>false</LinksUpToDate>
  <CharactersWithSpaces>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2026-10-29T11:37:57Z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