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DF011A3">
      <w:pPr>
        <w:numPr>
          <w:ilvl w:val="0"/>
          <w:numId w:val="1"/>
        </w:numPr>
        <w:rPr>
          <w:rFonts w:ascii="宋体" w:eastAsia="宋体" w:hAnsi="宋体" w:cs="宋体" w:hint="eastAsia"/>
          <w:b w:val="0"/>
          <w:sz w:val="21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乡村振兴战略实施以来，传统非遗的保护传承迎来新的发展机遇</w:t>
      </w:r>
      <w:r>
        <w:rPr>
          <w:rFonts w:ascii="宋体" w:eastAsia="宋体" w:hAnsi="宋体" w:cs="宋体" w:hint="eastAsia"/>
          <w:b w:val="0"/>
          <w:sz w:val="21"/>
        </w:rPr>
        <w:t>。</w:t>
      </w:r>
    </w:p>
    <w:p w14:paraId="71B2A3E9">
      <w:pPr>
        <w:widowControl w:val="0"/>
        <w:numPr>
          <w:numId w:val="0"/>
        </w:numPr>
        <w:jc w:val="both"/>
        <w:rPr>
          <w:rFonts w:ascii="宋体" w:eastAsia="宋体" w:hAnsi="宋体" w:cs="宋体" w:hint="default"/>
          <w:b w:val="0"/>
          <w:sz w:val="21"/>
          <w:lang w:val="en-US" w:eastAsia="zh-CN"/>
        </w:rPr>
      </w:pPr>
    </w:p>
    <w:p w14:paraId="739B8610">
      <w:pPr>
        <w:spacing w:before="0" w:after="0" w:line="360" w:lineRule="auto"/>
        <w:ind w:firstLine="420" w:firstLineChars="200"/>
        <w:rPr>
          <w:rFonts w:ascii="宋体" w:eastAsia="宋体" w:hAnsi="宋体" w:cs="宋体" w:hint="eastAsia"/>
          <w:color w:val="0000FF"/>
        </w:rPr>
      </w:pPr>
      <w:r>
        <w:rPr>
          <w:rFonts w:ascii="宋体" w:eastAsia="宋体" w:hAnsi="宋体" w:cs="宋体" w:hint="eastAsia"/>
          <w:b w:val="0"/>
          <w:sz w:val="21"/>
          <w:lang w:val="en-US" w:eastAsia="zh-CN"/>
        </w:rPr>
        <w:t>2.</w:t>
      </w:r>
      <w:r>
        <w:rPr>
          <w:rFonts w:ascii="宋体" w:eastAsia="宋体" w:hAnsi="宋体" w:cs="宋体" w:hint="eastAsia"/>
          <w:b w:val="0"/>
          <w:color w:val="0000FF"/>
          <w:sz w:val="21"/>
        </w:rPr>
        <w:t>文化振兴是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乡村</w:t>
      </w:r>
      <w:r>
        <w:rPr>
          <w:rFonts w:ascii="宋体" w:eastAsia="宋体" w:hAnsi="宋体" w:cs="宋体" w:hint="eastAsia"/>
          <w:b w:val="0"/>
          <w:color w:val="0000FF"/>
          <w:sz w:val="21"/>
        </w:rPr>
        <w:t>振兴的重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要</w:t>
      </w:r>
      <w:r>
        <w:rPr>
          <w:rFonts w:ascii="宋体" w:eastAsia="宋体" w:hAnsi="宋体" w:cs="宋体" w:hint="eastAsia"/>
          <w:b w:val="0"/>
          <w:color w:val="0000FF"/>
          <w:sz w:val="21"/>
        </w:rPr>
        <w:t>环节。非物质文化遗产来自于民间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乡土</w:t>
      </w:r>
      <w:r>
        <w:rPr>
          <w:rFonts w:ascii="宋体" w:eastAsia="宋体" w:hAnsi="宋体" w:cs="宋体" w:hint="eastAsia"/>
          <w:b w:val="0"/>
          <w:color w:val="0000FF"/>
          <w:sz w:val="21"/>
        </w:rPr>
        <w:t>，与乡村生产、生活的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记</w:t>
      </w:r>
      <w:r>
        <w:rPr>
          <w:rFonts w:ascii="宋体" w:eastAsia="宋体" w:hAnsi="宋体" w:cs="宋体" w:hint="eastAsia"/>
          <w:b w:val="0"/>
          <w:color w:val="0000FF"/>
          <w:sz w:val="21"/>
        </w:rPr>
        <w:t>忆相关，也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与地</w:t>
      </w:r>
      <w:r>
        <w:rPr>
          <w:rFonts w:ascii="宋体" w:eastAsia="宋体" w:hAnsi="宋体" w:cs="宋体" w:hint="eastAsia"/>
          <w:b w:val="0"/>
          <w:color w:val="0000FF"/>
          <w:sz w:val="21"/>
        </w:rPr>
        <w:t>方精神文化内涵相关联。非遗的保护不能只是保存技艺，它牵涉技艺的延续、文化的传播、产业的增收，也都是乡村文化振兴要解决的问题。</w:t>
      </w:r>
    </w:p>
    <w:p w14:paraId="101C7971">
      <w:pPr>
        <w:widowControl w:val="0"/>
        <w:numPr>
          <w:numId w:val="0"/>
        </w:numPr>
        <w:jc w:val="both"/>
        <w:rPr>
          <w:rFonts w:ascii="宋体" w:eastAsia="宋体" w:hAnsi="宋体" w:cs="宋体" w:hint="eastAsia"/>
          <w:b w:val="0"/>
          <w:color w:val="0000FF"/>
          <w:sz w:val="21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都江堰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古朴厚</w:t>
      </w:r>
      <w:r>
        <w:rPr>
          <w:rFonts w:ascii="宋体" w:eastAsia="宋体" w:hAnsi="宋体" w:cs="宋体" w:hint="eastAsia"/>
          <w:b w:val="0"/>
          <w:color w:val="0000FF"/>
          <w:sz w:val="21"/>
        </w:rPr>
        <w:t>重，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生活气息浓厚，聚源竹雕利</w:t>
      </w:r>
      <w:r>
        <w:rPr>
          <w:rFonts w:ascii="宋体" w:eastAsia="宋体" w:hAnsi="宋体" w:cs="宋体" w:hint="eastAsia"/>
          <w:b w:val="0"/>
          <w:color w:val="0000FF"/>
          <w:sz w:val="21"/>
        </w:rPr>
        <w:t>用川西竹子资源，数代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匠</w:t>
      </w:r>
      <w:r>
        <w:rPr>
          <w:rFonts w:ascii="宋体" w:eastAsia="宋体" w:hAnsi="宋体" w:cs="宋体" w:hint="eastAsia"/>
          <w:b w:val="0"/>
          <w:color w:val="0000FF"/>
          <w:sz w:val="21"/>
        </w:rPr>
        <w:t>人不断传承发展，形成了一种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带有</w:t>
      </w:r>
      <w:r>
        <w:rPr>
          <w:rFonts w:ascii="宋体" w:eastAsia="宋体" w:hAnsi="宋体" w:cs="宋体" w:hint="eastAsia"/>
          <w:b w:val="0"/>
          <w:color w:val="0000FF"/>
          <w:sz w:val="21"/>
        </w:rPr>
        <w:t>地域特征的竹雕工艺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，并且是川</w:t>
      </w:r>
      <w:r>
        <w:rPr>
          <w:rFonts w:ascii="宋体" w:eastAsia="宋体" w:hAnsi="宋体" w:cs="宋体" w:hint="eastAsia"/>
          <w:b w:val="0"/>
          <w:color w:val="0000FF"/>
          <w:sz w:val="21"/>
        </w:rPr>
        <w:t>西民间工艺的代表。</w:t>
      </w:r>
    </w:p>
    <w:p w14:paraId="0F7CA0B5">
      <w:pPr>
        <w:widowControl w:val="0"/>
        <w:numPr>
          <w:numId w:val="0"/>
        </w:numPr>
        <w:jc w:val="both"/>
        <w:rPr>
          <w:rFonts w:ascii="宋体" w:eastAsia="宋体" w:hAnsi="宋体" w:cs="宋体" w:hint="eastAsia"/>
          <w:b w:val="0"/>
          <w:color w:val="0000FF"/>
          <w:sz w:val="21"/>
        </w:rPr>
      </w:pPr>
    </w:p>
    <w:p w14:paraId="3D22A587">
      <w:pPr>
        <w:widowControl w:val="0"/>
        <w:numPr>
          <w:numId w:val="0"/>
        </w:numPr>
        <w:jc w:val="both"/>
        <w:rPr>
          <w:rFonts w:ascii="宋体" w:eastAsia="宋体" w:hAnsi="宋体" w:cs="宋体" w:hint="eastAsia"/>
          <w:b w:val="0"/>
          <w:color w:val="0000FF"/>
          <w:sz w:val="21"/>
        </w:rPr>
      </w:pPr>
    </w:p>
    <w:p w14:paraId="20557A60">
      <w:pPr>
        <w:widowControl w:val="0"/>
        <w:numPr>
          <w:numId w:val="0"/>
        </w:numPr>
        <w:ind w:leftChars="0"/>
        <w:jc w:val="both"/>
        <w:rPr>
          <w:rFonts w:ascii="宋体" w:eastAsia="宋体" w:hAnsi="宋体" w:cs="宋体" w:hint="eastAsia"/>
          <w:b w:val="0"/>
          <w:color w:val="0000FF"/>
          <w:sz w:val="21"/>
        </w:rPr>
      </w:pPr>
      <w:r>
        <w:rPr>
          <w:rFonts w:ascii="宋体" w:eastAsia="宋体" w:hAnsi="宋体" w:cs="宋体" w:hint="eastAsia"/>
          <w:b w:val="0"/>
          <w:color w:val="0000FF"/>
          <w:sz w:val="21"/>
          <w:lang w:val="en-US" w:eastAsia="zh-CN"/>
        </w:rPr>
        <w:t>3.</w:t>
      </w:r>
      <w:r>
        <w:rPr>
          <w:rFonts w:ascii="宋体" w:eastAsia="宋体" w:hAnsi="宋体" w:cs="宋体" w:hint="eastAsia"/>
          <w:b w:val="0"/>
          <w:color w:val="0000FF"/>
          <w:sz w:val="21"/>
        </w:rPr>
        <w:t>都江堰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正在</w:t>
      </w:r>
      <w:r>
        <w:rPr>
          <w:rFonts w:ascii="宋体" w:eastAsia="宋体" w:hAnsi="宋体" w:cs="宋体" w:hint="eastAsia"/>
          <w:b w:val="0"/>
          <w:color w:val="0000FF"/>
          <w:sz w:val="21"/>
        </w:rPr>
        <w:t>打造“天府国际会客厅”，聚源竹雕是当地非物质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文化遗产，也是文</w:t>
      </w:r>
      <w:r>
        <w:rPr>
          <w:rFonts w:ascii="宋体" w:eastAsia="宋体" w:hAnsi="宋体" w:cs="宋体" w:hint="eastAsia"/>
          <w:b w:val="0"/>
          <w:color w:val="0000FF"/>
          <w:sz w:val="21"/>
        </w:rPr>
        <w:t>旅名片中不可缺少的一部分。</w:t>
      </w:r>
    </w:p>
    <w:p w14:paraId="121CA1A1">
      <w:pPr>
        <w:widowControl w:val="0"/>
        <w:numPr>
          <w:numId w:val="0"/>
        </w:numPr>
        <w:jc w:val="both"/>
        <w:rPr>
          <w:rFonts w:ascii="宋体" w:eastAsia="宋体" w:hAnsi="宋体" w:cs="宋体" w:hint="eastAsia"/>
          <w:b w:val="0"/>
          <w:color w:val="0000FF"/>
          <w:sz w:val="21"/>
        </w:rPr>
      </w:pPr>
    </w:p>
    <w:p w14:paraId="33E0AABF">
      <w:pPr>
        <w:widowControl w:val="0"/>
        <w:numPr>
          <w:ilvl w:val="0"/>
          <w:numId w:val="2"/>
        </w:numPr>
        <w:tabs>
          <w:tab w:val="clear" w:pos="312"/>
        </w:tabs>
        <w:jc w:val="both"/>
        <w:rPr>
          <w:rFonts w:ascii="宋体" w:eastAsia="宋体" w:hAnsi="宋体" w:cs="宋体" w:hint="eastAsia"/>
          <w:b w:val="0"/>
          <w:color w:val="0000FF"/>
          <w:sz w:val="21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非遗活态传承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不</w:t>
      </w:r>
      <w:r>
        <w:rPr>
          <w:rFonts w:ascii="宋体" w:eastAsia="宋体" w:hAnsi="宋体" w:cs="宋体" w:hint="eastAsia"/>
          <w:b w:val="0"/>
          <w:color w:val="0000FF"/>
          <w:sz w:val="21"/>
        </w:rPr>
        <w:t>同于博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物馆</w:t>
      </w:r>
      <w:r>
        <w:rPr>
          <w:rFonts w:ascii="宋体" w:eastAsia="宋体" w:hAnsi="宋体" w:cs="宋体" w:hint="eastAsia"/>
          <w:b w:val="0"/>
          <w:color w:val="0000FF"/>
          <w:sz w:val="21"/>
        </w:rPr>
        <w:t>式静态保存的传承方式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，更</w:t>
      </w:r>
      <w:r>
        <w:rPr>
          <w:rFonts w:ascii="宋体" w:eastAsia="宋体" w:hAnsi="宋体" w:cs="宋体" w:hint="eastAsia"/>
          <w:b w:val="0"/>
          <w:color w:val="0000FF"/>
          <w:sz w:val="21"/>
        </w:rPr>
        <w:t>注重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技艺</w:t>
      </w:r>
      <w:r>
        <w:rPr>
          <w:rFonts w:ascii="宋体" w:eastAsia="宋体" w:hAnsi="宋体" w:cs="宋体" w:hint="eastAsia"/>
          <w:b w:val="0"/>
          <w:color w:val="0000FF"/>
          <w:sz w:val="21"/>
        </w:rPr>
        <w:t>在当代生活里可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以</w:t>
      </w:r>
      <w:r>
        <w:rPr>
          <w:rFonts w:ascii="宋体" w:eastAsia="宋体" w:hAnsi="宋体" w:cs="宋体" w:hint="eastAsia"/>
          <w:b w:val="0"/>
          <w:color w:val="0000FF"/>
          <w:sz w:val="21"/>
        </w:rPr>
        <w:t>流动、发展的传承。</w:t>
      </w:r>
    </w:p>
    <w:p w14:paraId="035CB936">
      <w:pPr>
        <w:widowControl w:val="0"/>
        <w:numPr>
          <w:numId w:val="0"/>
        </w:numPr>
        <w:jc w:val="both"/>
        <w:rPr>
          <w:rFonts w:ascii="宋体" w:eastAsia="宋体" w:hAnsi="宋体" w:cs="宋体" w:hint="default"/>
          <w:b w:val="0"/>
          <w:color w:val="0000FF"/>
          <w:sz w:val="21"/>
          <w:lang w:val="en-US" w:eastAsia="zh-CN"/>
        </w:rPr>
      </w:pPr>
    </w:p>
    <w:p w14:paraId="709FF3A4">
      <w:pPr>
        <w:widowControl w:val="0"/>
        <w:numPr>
          <w:numId w:val="0"/>
        </w:numPr>
        <w:jc w:val="both"/>
        <w:rPr>
          <w:rFonts w:ascii="宋体" w:eastAsia="宋体" w:hAnsi="宋体" w:cs="宋体" w:hint="default"/>
          <w:b w:val="0"/>
          <w:color w:val="0000FF"/>
          <w:sz w:val="21"/>
          <w:lang w:val="en-US" w:eastAsia="zh-CN"/>
        </w:rPr>
      </w:pPr>
    </w:p>
    <w:p w14:paraId="020B9704">
      <w:pPr>
        <w:widowControl w:val="0"/>
        <w:numPr>
          <w:ilvl w:val="0"/>
          <w:numId w:val="2"/>
        </w:numPr>
        <w:tabs>
          <w:tab w:val="clear" w:pos="312"/>
        </w:tabs>
        <w:ind w:left="0" w:firstLine="0" w:leftChars="0" w:firstLineChars="0"/>
        <w:jc w:val="both"/>
        <w:rPr>
          <w:rFonts w:ascii="宋体" w:eastAsia="宋体" w:hAnsi="宋体" w:cs="宋体" w:hint="eastAsia"/>
          <w:b w:val="0"/>
          <w:color w:val="0000FF"/>
          <w:sz w:val="21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高校学生党支部有思想引领、实践育人、服务社会的作用。与一般的社团相比，学生党支部有组织化的动员能力可以凝聚党员青年进行经常性的、有条理的活动。</w:t>
      </w:r>
    </w:p>
    <w:p w14:paraId="38423333">
      <w:pPr>
        <w:widowControl w:val="0"/>
        <w:numPr>
          <w:numId w:val="0"/>
        </w:numPr>
        <w:jc w:val="both"/>
        <w:rPr>
          <w:rFonts w:ascii="宋体" w:eastAsia="宋体" w:hAnsi="宋体" w:cs="宋体" w:hint="default"/>
          <w:b w:val="0"/>
          <w:color w:val="0000FF"/>
          <w:sz w:val="21"/>
          <w:lang w:val="en-US" w:eastAsia="zh-CN"/>
        </w:rPr>
      </w:pPr>
    </w:p>
    <w:p w14:paraId="6BC3DA98">
      <w:pPr>
        <w:widowControl w:val="0"/>
        <w:numPr>
          <w:ilvl w:val="0"/>
          <w:numId w:val="2"/>
        </w:numPr>
        <w:tabs>
          <w:tab w:val="clear" w:pos="312"/>
        </w:tabs>
        <w:ind w:left="0" w:firstLine="0" w:leftChars="0" w:firstLineChars="0"/>
        <w:jc w:val="both"/>
        <w:rPr>
          <w:rFonts w:ascii="宋体" w:eastAsia="宋体" w:hAnsi="宋体" w:cs="宋体" w:hint="eastAsia"/>
          <w:b w:val="0"/>
          <w:color w:val="0000FF"/>
          <w:sz w:val="21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乡村振兴战略总要求是产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业兴</w:t>
      </w:r>
      <w:r>
        <w:rPr>
          <w:rFonts w:ascii="宋体" w:eastAsia="宋体" w:hAnsi="宋体" w:cs="宋体" w:hint="eastAsia"/>
          <w:b w:val="0"/>
          <w:color w:val="0000FF"/>
          <w:sz w:val="21"/>
        </w:rPr>
        <w:t>旺、生态宜居、乡风文明、治理有效、生活富裕，文化振兴是乡村振兴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战略的</w:t>
      </w:r>
      <w:r>
        <w:rPr>
          <w:rFonts w:ascii="宋体" w:eastAsia="宋体" w:hAnsi="宋体" w:cs="宋体" w:hint="eastAsia"/>
          <w:b w:val="0"/>
          <w:color w:val="0000FF"/>
          <w:sz w:val="21"/>
        </w:rPr>
        <w:t>重要内容。</w:t>
      </w:r>
    </w:p>
    <w:p w14:paraId="472FA50B">
      <w:pPr>
        <w:widowControl w:val="0"/>
        <w:numPr>
          <w:numId w:val="0"/>
        </w:numPr>
        <w:jc w:val="both"/>
        <w:rPr>
          <w:rFonts w:ascii="宋体" w:eastAsia="宋体" w:hAnsi="宋体" w:cs="宋体" w:hint="default"/>
          <w:b w:val="0"/>
          <w:color w:val="0000FF"/>
          <w:sz w:val="21"/>
          <w:lang w:val="en-US" w:eastAsia="zh-CN"/>
        </w:rPr>
      </w:pPr>
    </w:p>
    <w:p w14:paraId="2B78DEAA">
      <w:pPr>
        <w:widowControl w:val="0"/>
        <w:numPr>
          <w:ilvl w:val="0"/>
          <w:numId w:val="2"/>
        </w:numPr>
        <w:tabs>
          <w:tab w:val="clear" w:pos="312"/>
        </w:tabs>
        <w:ind w:left="0" w:firstLine="0" w:leftChars="0" w:firstLineChars="0"/>
        <w:jc w:val="both"/>
        <w:rPr>
          <w:rFonts w:ascii="宋体" w:eastAsia="宋体" w:hAnsi="宋体" w:cs="宋体" w:hint="eastAsia"/>
          <w:b w:val="0"/>
          <w:color w:val="0000FF"/>
          <w:sz w:val="21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聚源竹雕产于都江堰市聚源镇，竹林茂盛，民间手艺在此扎根。</w:t>
      </w:r>
    </w:p>
    <w:p w14:paraId="234450D9">
      <w:pPr>
        <w:widowControl w:val="0"/>
        <w:numPr>
          <w:numId w:val="0"/>
        </w:numPr>
        <w:jc w:val="both"/>
        <w:rPr>
          <w:rFonts w:ascii="宋体" w:eastAsia="宋体" w:hAnsi="宋体" w:cs="宋体" w:hint="default"/>
          <w:b w:val="0"/>
          <w:color w:val="0000FF"/>
          <w:sz w:val="21"/>
          <w:lang w:val="en-US" w:eastAsia="zh-CN"/>
        </w:rPr>
      </w:pPr>
    </w:p>
    <w:p w14:paraId="4EBE95DB">
      <w:pPr>
        <w:widowControl w:val="0"/>
        <w:numPr>
          <w:ilvl w:val="0"/>
          <w:numId w:val="2"/>
        </w:numPr>
        <w:tabs>
          <w:tab w:val="clear" w:pos="312"/>
        </w:tabs>
        <w:ind w:left="0" w:firstLine="0" w:leftChars="0" w:firstLineChars="0"/>
        <w:jc w:val="both"/>
        <w:rPr>
          <w:rFonts w:ascii="宋体" w:eastAsia="宋体" w:hAnsi="宋体" w:cs="宋体" w:hint="eastAsia"/>
          <w:b w:val="0"/>
          <w:color w:val="0000FF"/>
          <w:sz w:val="21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近些年来，地方政府对于聚源竹雕予以扶持，工坊也开展了技艺体验、小型展览，不过存在一些短板，即传承人年纪大，年轻人较少，技艺传承存在断层现象；产品形态单一，能够适应现代消费市场的文创产品不多；传播手段传统，线上宣传力度不够，大众知晓度低；同当地文旅结合不足，没有很好地利用都江堰旅游的流量来发展。</w:t>
      </w:r>
    </w:p>
    <w:p w14:paraId="58E256C9">
      <w:pPr>
        <w:widowControl w:val="0"/>
        <w:numPr>
          <w:numId w:val="0"/>
        </w:numPr>
        <w:jc w:val="both"/>
        <w:rPr>
          <w:rFonts w:ascii="宋体" w:eastAsia="宋体" w:hAnsi="宋体" w:cs="宋体" w:hint="default"/>
          <w:b w:val="0"/>
          <w:color w:val="0000FF"/>
          <w:sz w:val="21"/>
          <w:lang w:val="en-US" w:eastAsia="zh-CN"/>
        </w:rPr>
      </w:pPr>
    </w:p>
    <w:p w14:paraId="3549D6DE">
      <w:pPr>
        <w:widowControl w:val="0"/>
        <w:numPr>
          <w:ilvl w:val="0"/>
          <w:numId w:val="2"/>
        </w:numPr>
        <w:tabs>
          <w:tab w:val="clear" w:pos="312"/>
        </w:tabs>
        <w:ind w:left="0" w:firstLine="0" w:leftChars="0" w:firstLineChars="0"/>
        <w:jc w:val="both"/>
        <w:rPr>
          <w:rFonts w:ascii="宋体" w:eastAsia="宋体" w:hAnsi="宋体" w:cs="宋体" w:hint="eastAsia"/>
          <w:b w:val="0"/>
          <w:color w:val="0000FF"/>
          <w:sz w:val="21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高校学生党支部可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以借</w:t>
      </w:r>
      <w:r>
        <w:rPr>
          <w:rFonts w:ascii="宋体" w:eastAsia="宋体" w:hAnsi="宋体" w:cs="宋体" w:hint="eastAsia"/>
          <w:b w:val="0"/>
          <w:color w:val="0000FF"/>
          <w:sz w:val="21"/>
        </w:rPr>
        <w:t>助党建这一纽带，把乡村振兴、非遗保护的政策导向具体落实到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实</w:t>
      </w:r>
      <w:r>
        <w:rPr>
          <w:rFonts w:ascii="宋体" w:eastAsia="宋体" w:hAnsi="宋体" w:cs="宋体" w:hint="eastAsia"/>
          <w:b w:val="0"/>
          <w:color w:val="0000FF"/>
          <w:sz w:val="21"/>
        </w:rPr>
        <w:t>践当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中</w:t>
      </w:r>
      <w:r>
        <w:rPr>
          <w:rFonts w:ascii="宋体" w:eastAsia="宋体" w:hAnsi="宋体" w:cs="宋体" w:hint="eastAsia"/>
          <w:b w:val="0"/>
          <w:color w:val="0000FF"/>
          <w:sz w:val="21"/>
        </w:rPr>
        <w:t>。</w:t>
      </w:r>
    </w:p>
    <w:p w14:paraId="60ECC597">
      <w:pPr>
        <w:widowControl w:val="0"/>
        <w:numPr>
          <w:numId w:val="0"/>
        </w:numPr>
        <w:jc w:val="both"/>
        <w:rPr>
          <w:rFonts w:ascii="宋体" w:eastAsia="宋体" w:hAnsi="宋体" w:cs="宋体" w:hint="default"/>
          <w:b w:val="0"/>
          <w:color w:val="0000FF"/>
          <w:sz w:val="21"/>
          <w:lang w:val="en-US" w:eastAsia="zh-CN"/>
        </w:rPr>
      </w:pPr>
    </w:p>
    <w:p w14:paraId="311E717E">
      <w:pPr>
        <w:widowControl w:val="0"/>
        <w:numPr>
          <w:ilvl w:val="0"/>
          <w:numId w:val="2"/>
        </w:numPr>
        <w:tabs>
          <w:tab w:val="clear" w:pos="312"/>
        </w:tabs>
        <w:ind w:left="0" w:firstLine="0" w:leftChars="0" w:firstLineChars="0"/>
        <w:jc w:val="both"/>
        <w:rPr>
          <w:rFonts w:ascii="宋体" w:eastAsia="宋体" w:hAnsi="宋体" w:cs="宋体" w:hint="eastAsia"/>
          <w:b w:val="0"/>
          <w:color w:val="0000FF"/>
          <w:sz w:val="21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青年力量匮乏是聚源竹雕工坊最大的困境之一。学生党支部组织党员、发展对象及入党积极分子到乡村进行下沉工作，用青年熟悉新媒体、设计、文案、运营的特点。</w:t>
      </w:r>
    </w:p>
    <w:p w14:paraId="5551CC7D">
      <w:pPr>
        <w:widowControl w:val="0"/>
        <w:numPr>
          <w:numId w:val="0"/>
        </w:numPr>
        <w:jc w:val="both"/>
        <w:rPr>
          <w:rFonts w:ascii="宋体" w:eastAsia="宋体" w:hAnsi="宋体" w:cs="宋体" w:hint="default"/>
          <w:b w:val="0"/>
          <w:color w:val="0000FF"/>
          <w:sz w:val="21"/>
          <w:lang w:val="en-US" w:eastAsia="zh-CN"/>
        </w:rPr>
      </w:pPr>
    </w:p>
    <w:p w14:paraId="5DC66DA6">
      <w:pPr>
        <w:widowControl w:val="0"/>
        <w:numPr>
          <w:ilvl w:val="0"/>
          <w:numId w:val="2"/>
        </w:numPr>
        <w:tabs>
          <w:tab w:val="clear" w:pos="312"/>
        </w:tabs>
        <w:ind w:left="0" w:firstLine="0" w:leftChars="0" w:firstLineChars="0"/>
        <w:jc w:val="both"/>
        <w:rPr>
          <w:rFonts w:ascii="宋体" w:eastAsia="宋体" w:hAnsi="宋体" w:cs="宋体" w:hint="eastAsia"/>
          <w:b w:val="0"/>
          <w:color w:val="0000FF"/>
          <w:sz w:val="21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高校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拥有</w:t>
      </w:r>
      <w:r>
        <w:rPr>
          <w:rFonts w:ascii="宋体" w:eastAsia="宋体" w:hAnsi="宋体" w:cs="宋体" w:hint="eastAsia"/>
          <w:b w:val="0"/>
          <w:color w:val="0000FF"/>
          <w:sz w:val="21"/>
        </w:rPr>
        <w:t>学科资源，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美术</w:t>
      </w:r>
      <w:r>
        <w:rPr>
          <w:rFonts w:ascii="宋体" w:eastAsia="宋体" w:hAnsi="宋体" w:cs="宋体" w:hint="eastAsia"/>
          <w:b w:val="0"/>
          <w:color w:val="0000FF"/>
          <w:sz w:val="21"/>
        </w:rPr>
        <w:t>设计、旅游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管理</w:t>
      </w:r>
      <w:r>
        <w:rPr>
          <w:rFonts w:ascii="宋体" w:eastAsia="宋体" w:hAnsi="宋体" w:cs="宋体" w:hint="eastAsia"/>
          <w:b w:val="0"/>
          <w:color w:val="0000FF"/>
          <w:sz w:val="21"/>
        </w:rPr>
        <w:t>、汉语言文学、网络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与新媒</w:t>
      </w:r>
      <w:r>
        <w:rPr>
          <w:rFonts w:ascii="宋体" w:eastAsia="宋体" w:hAnsi="宋体" w:cs="宋体" w:hint="eastAsia"/>
          <w:b w:val="0"/>
          <w:color w:val="0000FF"/>
          <w:sz w:val="21"/>
        </w:rPr>
        <w:t>体等专业学生通过参与党支部组织平台，从聚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源竹</w:t>
      </w:r>
      <w:r>
        <w:rPr>
          <w:rFonts w:ascii="宋体" w:eastAsia="宋体" w:hAnsi="宋体" w:cs="宋体" w:hint="eastAsia"/>
          <w:b w:val="0"/>
          <w:color w:val="0000FF"/>
          <w:sz w:val="21"/>
        </w:rPr>
        <w:t>雕文创设计、故事挖掘、文旅策划、对外宣传等各方面的实践。</w:t>
      </w:r>
    </w:p>
    <w:p w14:paraId="7A703C9B">
      <w:pPr>
        <w:widowControl w:val="0"/>
        <w:numPr>
          <w:numId w:val="0"/>
        </w:numPr>
        <w:jc w:val="both"/>
        <w:rPr>
          <w:rFonts w:ascii="宋体" w:eastAsia="宋体" w:hAnsi="宋体" w:cs="宋体" w:hint="default"/>
          <w:b w:val="0"/>
          <w:color w:val="0000FF"/>
          <w:sz w:val="21"/>
          <w:lang w:val="en-US" w:eastAsia="zh-CN"/>
        </w:rPr>
      </w:pPr>
    </w:p>
    <w:p w14:paraId="6AB115AB">
      <w:pPr>
        <w:widowControl w:val="0"/>
        <w:numPr>
          <w:ilvl w:val="0"/>
          <w:numId w:val="2"/>
        </w:numPr>
        <w:tabs>
          <w:tab w:val="clear" w:pos="312"/>
        </w:tabs>
        <w:ind w:left="0" w:firstLine="0" w:leftChars="0" w:firstLineChars="0"/>
        <w:jc w:val="both"/>
        <w:rPr>
          <w:rFonts w:ascii="宋体" w:eastAsia="宋体" w:hAnsi="宋体" w:cs="宋体" w:hint="eastAsia"/>
          <w:b w:val="0"/>
          <w:color w:val="0000FF"/>
          <w:sz w:val="21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都江堰的文旅资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源十分丰富，创</w:t>
      </w:r>
      <w:r>
        <w:rPr>
          <w:rFonts w:ascii="宋体" w:eastAsia="宋体" w:hAnsi="宋体" w:cs="宋体" w:hint="eastAsia"/>
          <w:b w:val="0"/>
          <w:color w:val="0000FF"/>
          <w:sz w:val="21"/>
        </w:rPr>
        <w:t>建“天府国际会客厅”必须要有本土文化IP作为支撑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，聚源竹雕是都江堰市重</w:t>
      </w:r>
      <w:r>
        <w:rPr>
          <w:rFonts w:ascii="宋体" w:eastAsia="宋体" w:hAnsi="宋体" w:cs="宋体" w:hint="eastAsia"/>
          <w:b w:val="0"/>
          <w:color w:val="0000FF"/>
          <w:sz w:val="21"/>
        </w:rPr>
        <w:t>要的文化符号。</w:t>
      </w:r>
    </w:p>
    <w:p w14:paraId="392595AB">
      <w:pPr>
        <w:widowControl w:val="0"/>
        <w:numPr>
          <w:numId w:val="0"/>
        </w:numPr>
        <w:jc w:val="both"/>
        <w:rPr>
          <w:rFonts w:ascii="宋体" w:eastAsia="宋体" w:hAnsi="宋体" w:cs="宋体" w:hint="default"/>
          <w:b w:val="0"/>
          <w:color w:val="0000FF"/>
          <w:sz w:val="21"/>
          <w:lang w:val="en-US" w:eastAsia="zh-CN"/>
        </w:rPr>
      </w:pPr>
    </w:p>
    <w:p w14:paraId="01FAE35E">
      <w:pPr>
        <w:widowControl w:val="0"/>
        <w:numPr>
          <w:ilvl w:val="0"/>
          <w:numId w:val="2"/>
        </w:numPr>
        <w:tabs>
          <w:tab w:val="clear" w:pos="312"/>
        </w:tabs>
        <w:ind w:left="0" w:firstLine="0" w:leftChars="0" w:firstLineChars="0"/>
        <w:jc w:val="both"/>
        <w:rPr>
          <w:rFonts w:ascii="宋体" w:eastAsia="宋体" w:hAnsi="宋体" w:cs="宋体" w:hint="eastAsia"/>
          <w:b w:val="0"/>
          <w:color w:val="0000FF"/>
          <w:sz w:val="21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对学生党支部而言，组织参与非遗帮扶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也</w:t>
      </w:r>
      <w:r>
        <w:rPr>
          <w:rFonts w:ascii="宋体" w:eastAsia="宋体" w:hAnsi="宋体" w:cs="宋体" w:hint="eastAsia"/>
          <w:b w:val="0"/>
          <w:color w:val="0000FF"/>
          <w:sz w:val="21"/>
        </w:rPr>
        <w:t>是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实践</w:t>
      </w:r>
      <w:r>
        <w:rPr>
          <w:rFonts w:ascii="宋体" w:eastAsia="宋体" w:hAnsi="宋体" w:cs="宋体" w:hint="eastAsia"/>
          <w:b w:val="0"/>
          <w:color w:val="0000FF"/>
          <w:sz w:val="21"/>
        </w:rPr>
        <w:t>育人的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重要</w:t>
      </w:r>
      <w:r>
        <w:rPr>
          <w:rFonts w:ascii="宋体" w:eastAsia="宋体" w:hAnsi="宋体" w:cs="宋体" w:hint="eastAsia"/>
          <w:b w:val="0"/>
          <w:color w:val="0000FF"/>
          <w:sz w:val="21"/>
        </w:rPr>
        <w:t>途径。</w:t>
      </w:r>
    </w:p>
    <w:p w14:paraId="1C8545BD">
      <w:pPr>
        <w:widowControl w:val="0"/>
        <w:numPr>
          <w:numId w:val="0"/>
        </w:numPr>
        <w:jc w:val="both"/>
        <w:rPr>
          <w:rFonts w:ascii="宋体" w:eastAsia="宋体" w:hAnsi="宋体" w:cs="宋体" w:hint="default"/>
          <w:b w:val="0"/>
          <w:color w:val="0000FF"/>
          <w:sz w:val="21"/>
          <w:lang w:val="en-US" w:eastAsia="zh-CN"/>
        </w:rPr>
      </w:pPr>
    </w:p>
    <w:p w14:paraId="25485D5F">
      <w:pPr>
        <w:widowControl w:val="0"/>
        <w:numPr>
          <w:ilvl w:val="0"/>
          <w:numId w:val="2"/>
        </w:numPr>
        <w:tabs>
          <w:tab w:val="clear" w:pos="312"/>
        </w:tabs>
        <w:ind w:left="0" w:firstLine="0" w:leftChars="0" w:firstLineChars="0"/>
        <w:jc w:val="both"/>
        <w:rPr>
          <w:rFonts w:ascii="宋体" w:eastAsia="宋体" w:hAnsi="宋体" w:cs="宋体" w:hint="eastAsia"/>
          <w:b w:val="0"/>
          <w:color w:val="0000FF"/>
          <w:sz w:val="21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聚源竹雕学习周期长，手工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劳动</w:t>
      </w:r>
      <w:r>
        <w:rPr>
          <w:rFonts w:ascii="宋体" w:eastAsia="宋体" w:hAnsi="宋体" w:cs="宋体" w:hint="eastAsia"/>
          <w:b w:val="0"/>
          <w:color w:val="0000FF"/>
          <w:sz w:val="21"/>
        </w:rPr>
        <w:t>辛苦，经济收益慢，不能吸引</w:t>
      </w:r>
      <w:r>
        <w:rPr>
          <w:rFonts w:ascii="宋体" w:eastAsia="宋体" w:hAnsi="宋体" w:cs="宋体" w:hint="eastAsia"/>
          <w:b w:val="0"/>
          <w:color w:val="0000FF"/>
          <w:sz w:val="21"/>
        </w:rPr>
        <w:t>年轻人。</w:t>
      </w:r>
    </w:p>
    <w:p w14:paraId="06BF7B30">
      <w:pPr>
        <w:widowControl w:val="0"/>
        <w:numPr>
          <w:numId w:val="0"/>
        </w:numPr>
        <w:jc w:val="both"/>
        <w:rPr>
          <w:rFonts w:ascii="宋体" w:eastAsia="宋体" w:hAnsi="宋体" w:cs="宋体" w:hint="default"/>
          <w:b w:val="0"/>
          <w:color w:val="0000FF"/>
          <w:sz w:val="21"/>
          <w:lang w:val="en-US" w:eastAsia="zh-CN"/>
        </w:rPr>
      </w:pPr>
    </w:p>
    <w:p w14:paraId="1E055269">
      <w:pPr>
        <w:widowControl w:val="0"/>
        <w:numPr>
          <w:ilvl w:val="0"/>
          <w:numId w:val="2"/>
        </w:numPr>
        <w:tabs>
          <w:tab w:val="clear" w:pos="312"/>
        </w:tabs>
        <w:ind w:left="0" w:firstLine="0" w:leftChars="0" w:firstLineChars="0"/>
        <w:jc w:val="both"/>
        <w:rPr>
          <w:rFonts w:ascii="宋体" w:eastAsia="宋体" w:hAnsi="宋体" w:cs="宋体" w:hint="eastAsia"/>
          <w:b w:val="0"/>
          <w:color w:val="0000FF"/>
          <w:sz w:val="21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聚源竹雕现有产品以传统的摆件、工艺品为主，造型比较固定。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匠</w:t>
      </w:r>
      <w:r>
        <w:rPr>
          <w:rFonts w:ascii="宋体" w:eastAsia="宋体" w:hAnsi="宋体" w:cs="宋体" w:hint="eastAsia"/>
          <w:b w:val="0"/>
          <w:color w:val="0000FF"/>
          <w:sz w:val="21"/>
        </w:rPr>
        <w:t>人只重视技艺的打磨而缺乏现代的设计思想，适合大众日常使用的文创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小物</w:t>
      </w:r>
      <w:r>
        <w:rPr>
          <w:rFonts w:ascii="宋体" w:eastAsia="宋体" w:hAnsi="宋体" w:cs="宋体" w:hint="eastAsia"/>
          <w:b w:val="0"/>
          <w:color w:val="0000FF"/>
          <w:sz w:val="21"/>
        </w:rPr>
        <w:t>件、伴手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礼较</w:t>
      </w:r>
      <w:r>
        <w:rPr>
          <w:rFonts w:ascii="宋体" w:eastAsia="宋体" w:hAnsi="宋体" w:cs="宋体" w:hint="eastAsia"/>
          <w:b w:val="0"/>
          <w:color w:val="0000FF"/>
          <w:sz w:val="21"/>
        </w:rPr>
        <w:t>少。</w:t>
      </w:r>
    </w:p>
    <w:p w14:paraId="22119842">
      <w:pPr>
        <w:widowControl w:val="0"/>
        <w:numPr>
          <w:numId w:val="0"/>
        </w:numPr>
        <w:jc w:val="both"/>
        <w:rPr>
          <w:rFonts w:ascii="宋体" w:eastAsia="宋体" w:hAnsi="宋体" w:cs="宋体" w:hint="default"/>
          <w:b w:val="0"/>
          <w:color w:val="0000FF"/>
          <w:sz w:val="21"/>
          <w:lang w:val="en-US" w:eastAsia="zh-CN"/>
        </w:rPr>
      </w:pPr>
    </w:p>
    <w:p w14:paraId="76EE6100">
      <w:pPr>
        <w:widowControl w:val="0"/>
        <w:numPr>
          <w:ilvl w:val="0"/>
          <w:numId w:val="2"/>
        </w:numPr>
        <w:tabs>
          <w:tab w:val="clear" w:pos="312"/>
        </w:tabs>
        <w:ind w:left="0" w:firstLine="0" w:leftChars="0" w:firstLineChars="0"/>
        <w:jc w:val="both"/>
        <w:rPr>
          <w:rFonts w:ascii="宋体" w:eastAsia="宋体" w:hAnsi="宋体" w:cs="宋体" w:hint="eastAsia"/>
          <w:b w:val="0"/>
          <w:color w:val="0000FF"/>
          <w:sz w:val="21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聚源竹雕的传播主要靠线下展览和政府宣传，线上传播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力量</w:t>
      </w:r>
      <w:r>
        <w:rPr>
          <w:rFonts w:ascii="宋体" w:eastAsia="宋体" w:hAnsi="宋体" w:cs="宋体" w:hint="eastAsia"/>
          <w:b w:val="0"/>
          <w:color w:val="0000FF"/>
          <w:sz w:val="21"/>
        </w:rPr>
        <w:t>薄弱。</w:t>
      </w:r>
    </w:p>
    <w:p w14:paraId="2814642F">
      <w:pPr>
        <w:widowControl w:val="0"/>
        <w:numPr>
          <w:numId w:val="0"/>
        </w:numPr>
        <w:jc w:val="both"/>
        <w:rPr>
          <w:rFonts w:ascii="宋体" w:eastAsia="宋体" w:hAnsi="宋体" w:cs="宋体" w:hint="default"/>
          <w:b w:val="0"/>
          <w:color w:val="0000FF"/>
          <w:sz w:val="21"/>
          <w:lang w:val="en-US" w:eastAsia="zh-CN"/>
        </w:rPr>
      </w:pPr>
    </w:p>
    <w:p w14:paraId="1E8D1385">
      <w:pPr>
        <w:widowControl w:val="0"/>
        <w:numPr>
          <w:ilvl w:val="0"/>
          <w:numId w:val="2"/>
        </w:numPr>
        <w:tabs>
          <w:tab w:val="clear" w:pos="312"/>
        </w:tabs>
        <w:ind w:left="0" w:firstLine="0" w:leftChars="0" w:firstLineChars="0"/>
        <w:jc w:val="both"/>
        <w:rPr>
          <w:rFonts w:ascii="宋体" w:eastAsia="宋体" w:hAnsi="宋体" w:cs="宋体" w:hint="eastAsia"/>
          <w:b w:val="0"/>
          <w:color w:val="0000FF"/>
          <w:sz w:val="21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都江堰一</w:t>
      </w:r>
      <w:r>
        <w:rPr>
          <w:rFonts w:ascii="宋体" w:hAnsi="宋体" w:cs="宋体" w:hint="eastAsia"/>
          <w:b w:val="0"/>
          <w:color w:val="0000FF"/>
          <w:sz w:val="21"/>
          <w:lang w:val="en-US" w:eastAsia="zh-CN"/>
        </w:rPr>
        <w:t>直为旅游胜地，</w:t>
      </w:r>
      <w:r>
        <w:rPr>
          <w:rFonts w:ascii="宋体" w:eastAsia="宋体" w:hAnsi="宋体" w:cs="宋体" w:hint="eastAsia"/>
          <w:b w:val="0"/>
          <w:color w:val="0000FF"/>
          <w:sz w:val="21"/>
        </w:rPr>
        <w:t>但是聚源竹雕工坊同当地的文旅系统融合度较低。</w:t>
      </w:r>
    </w:p>
    <w:p w14:paraId="519F17E0">
      <w:pPr>
        <w:widowControl w:val="0"/>
        <w:numPr>
          <w:numId w:val="0"/>
        </w:numPr>
        <w:jc w:val="both"/>
        <w:rPr>
          <w:rFonts w:ascii="宋体" w:eastAsia="宋体" w:hAnsi="宋体" w:cs="宋体" w:hint="default"/>
          <w:b w:val="0"/>
          <w:color w:val="0000FF"/>
          <w:sz w:val="21"/>
          <w:lang w:val="en-US" w:eastAsia="zh-CN"/>
        </w:rPr>
      </w:pPr>
    </w:p>
    <w:p w14:paraId="4BE449F1">
      <w:pPr>
        <w:widowControl w:val="0"/>
        <w:numPr>
          <w:ilvl w:val="0"/>
          <w:numId w:val="2"/>
        </w:numPr>
        <w:tabs>
          <w:tab w:val="clear" w:pos="312"/>
        </w:tabs>
        <w:ind w:left="0" w:firstLine="0" w:leftChars="0" w:firstLineChars="0"/>
        <w:jc w:val="both"/>
        <w:rPr>
          <w:rFonts w:ascii="宋体" w:eastAsia="宋体" w:hAnsi="宋体" w:cs="宋体" w:hint="eastAsia"/>
          <w:b w:val="0"/>
          <w:color w:val="0000FF"/>
          <w:sz w:val="21"/>
        </w:rPr>
      </w:pPr>
      <w:r>
        <w:rPr>
          <w:rFonts w:ascii="宋体" w:eastAsia="宋体" w:hAnsi="宋体" w:cs="宋体" w:hint="eastAsia"/>
          <w:b w:val="0"/>
          <w:color w:val="0000FF"/>
          <w:sz w:val="21"/>
        </w:rPr>
        <w:t>非遗活态传承要依靠政府、工坊、高校、社会四大主体共同努力，但是各个主体之间缺少联动机制。</w:t>
      </w:r>
    </w:p>
    <w:p w14:paraId="7B9A34ED">
      <w:pPr>
        <w:widowControl w:val="0"/>
        <w:numPr>
          <w:numId w:val="0"/>
        </w:numPr>
        <w:jc w:val="both"/>
        <w:rPr>
          <w:rFonts w:ascii="宋体" w:eastAsia="宋体" w:hAnsi="宋体" w:cs="宋体" w:hint="default"/>
          <w:b w:val="0"/>
          <w:color w:val="0000FF"/>
          <w:sz w:val="21"/>
          <w:lang w:val="en-US" w:eastAsia="zh-CN"/>
        </w:rPr>
      </w:pPr>
    </w:p>
    <w:p w14:paraId="25F69C7F">
      <w:pPr>
        <w:widowControl w:val="0"/>
        <w:numPr>
          <w:ilvl w:val="0"/>
          <w:numId w:val="2"/>
        </w:numPr>
        <w:tabs>
          <w:tab w:val="clear" w:pos="312"/>
        </w:tabs>
        <w:ind w:left="0" w:firstLine="0" w:leftChars="0" w:firstLineChars="0"/>
        <w:jc w:val="both"/>
        <w:rPr>
          <w:rFonts w:ascii="Calibri" w:eastAsia="宋体" w:hAnsi="Calibri"/>
          <w:b w:val="0"/>
          <w:color w:val="0000FF"/>
          <w:sz w:val="21"/>
        </w:rPr>
      </w:pPr>
      <w:r>
        <w:rPr>
          <w:rFonts w:ascii="Calibri" w:eastAsia="宋体" w:hAnsi="Calibri"/>
          <w:b w:val="0"/>
          <w:color w:val="0000FF"/>
          <w:sz w:val="21"/>
        </w:rPr>
        <w:t>以学生党支部为纽带，创建党支部、非遗工坊、地方文旅部门三者之间的常态化联动机制，把非遗帮扶当作支部主题党日、社会实践的固定项目，不能出现</w:t>
      </w:r>
      <w:r>
        <w:rPr>
          <w:rFonts w:hint="eastAsia"/>
          <w:b w:val="0"/>
          <w:color w:val="0000FF"/>
          <w:sz w:val="21"/>
          <w:lang w:val="en-US" w:eastAsia="zh-CN"/>
        </w:rPr>
        <w:t>一次性</w:t>
      </w:r>
      <w:r>
        <w:rPr>
          <w:rFonts w:ascii="Calibri" w:eastAsia="宋体" w:hAnsi="Calibri"/>
          <w:b w:val="0"/>
          <w:color w:val="0000FF"/>
          <w:sz w:val="21"/>
        </w:rPr>
        <w:t>的活</w:t>
      </w:r>
      <w:r>
        <w:rPr>
          <w:rFonts w:hint="eastAsia"/>
          <w:b w:val="0"/>
          <w:color w:val="0000FF"/>
          <w:sz w:val="21"/>
          <w:lang w:val="en-US" w:eastAsia="zh-CN"/>
        </w:rPr>
        <w:t>动或者</w:t>
      </w:r>
      <w:r>
        <w:rPr>
          <w:rFonts w:ascii="Calibri" w:eastAsia="宋体" w:hAnsi="Calibri"/>
          <w:b w:val="0"/>
          <w:color w:val="0000FF"/>
          <w:sz w:val="21"/>
        </w:rPr>
        <w:t>短期的活动。</w:t>
      </w:r>
    </w:p>
    <w:p w14:paraId="561E8EE5">
      <w:pPr>
        <w:widowControl w:val="0"/>
        <w:numPr>
          <w:numId w:val="0"/>
        </w:numPr>
        <w:jc w:val="both"/>
        <w:rPr>
          <w:rFonts w:ascii="Calibri" w:eastAsia="宋体" w:hAnsi="Calibri" w:hint="default"/>
          <w:b w:val="0"/>
          <w:color w:val="0000FF"/>
          <w:sz w:val="21"/>
          <w:lang w:val="en-US" w:eastAsia="zh-CN"/>
        </w:rPr>
      </w:pPr>
    </w:p>
    <w:p w14:paraId="53D40454">
      <w:pPr>
        <w:spacing w:before="0" w:after="0" w:line="360" w:lineRule="auto"/>
        <w:ind w:firstLine="420" w:firstLineChars="200"/>
        <w:rPr>
          <w:color w:val="0000FF"/>
        </w:rPr>
      </w:pPr>
      <w:r>
        <w:rPr>
          <w:rFonts w:ascii="Calibri" w:eastAsia="宋体" w:hAnsi="Calibri" w:hint="eastAsia"/>
          <w:b w:val="0"/>
          <w:color w:val="0000FF"/>
          <w:sz w:val="21"/>
          <w:lang w:val="en-US" w:eastAsia="zh-CN"/>
        </w:rPr>
        <w:t>20.</w:t>
      </w:r>
      <w:r>
        <w:rPr>
          <w:rFonts w:ascii="Calibri" w:eastAsia="宋体" w:hAnsi="Calibri"/>
          <w:b w:val="0"/>
          <w:color w:val="0000FF"/>
          <w:sz w:val="21"/>
        </w:rPr>
        <w:t>学生党支部一方面扩大技艺的传播，组织党员学生到中小学、社区去开展匠人访谈资料的非遗科普讲座以及小型体验课，扩大受众基础；另一方面可以</w:t>
      </w:r>
      <w:r>
        <w:rPr>
          <w:rFonts w:hint="eastAsia"/>
          <w:b w:val="0"/>
          <w:color w:val="0000FF"/>
          <w:sz w:val="21"/>
          <w:lang w:val="en-US" w:eastAsia="zh-CN"/>
        </w:rPr>
        <w:t>搭建青</w:t>
      </w:r>
      <w:r>
        <w:rPr>
          <w:rFonts w:ascii="Calibri" w:eastAsia="宋体" w:hAnsi="Calibri"/>
          <w:b w:val="0"/>
          <w:color w:val="0000FF"/>
          <w:sz w:val="21"/>
        </w:rPr>
        <w:t>年体验交流平台，联合工坊举办周末非遗体验活动，使青年能够亲身参与到技艺当中来，协助工坊搭建学徒交流</w:t>
      </w:r>
      <w:r>
        <w:rPr>
          <w:rFonts w:hint="eastAsia"/>
          <w:b w:val="0"/>
          <w:color w:val="0000FF"/>
          <w:sz w:val="21"/>
          <w:lang w:eastAsia="zh-CN"/>
        </w:rPr>
        <w:t>平</w:t>
      </w:r>
      <w:r>
        <w:rPr>
          <w:rFonts w:ascii="Calibri" w:eastAsia="宋体" w:hAnsi="Calibri"/>
          <w:b w:val="0"/>
          <w:color w:val="0000FF"/>
          <w:sz w:val="21"/>
        </w:rPr>
        <w:t>台，协助匠人将口传心授的技艺转化成通俗的教学素材，助力相关专业学生把竹雕技艺当作毕业设计或课程实践课题。</w:t>
      </w:r>
    </w:p>
    <w:p w14:paraId="104B9674">
      <w:pPr>
        <w:widowControl w:val="0"/>
        <w:numPr>
          <w:numId w:val="0"/>
        </w:numPr>
        <w:jc w:val="both"/>
        <w:rPr>
          <w:rFonts w:ascii="Calibri" w:eastAsia="宋体" w:hAnsi="Calibri" w:hint="default"/>
          <w:b w:val="0"/>
          <w:color w:val="0000FF"/>
          <w:sz w:val="21"/>
          <w:lang w:val="en-US" w:eastAsia="zh-CN"/>
        </w:rPr>
      </w:pPr>
    </w:p>
    <w:p w14:paraId="15A72702">
      <w:pPr>
        <w:widowControl w:val="0"/>
        <w:numPr>
          <w:numId w:val="0"/>
        </w:numPr>
        <w:jc w:val="both"/>
        <w:rPr>
          <w:rFonts w:ascii="Calibri" w:eastAsia="宋体" w:hAnsi="Calibri" w:hint="default"/>
          <w:b w:val="0"/>
          <w:color w:val="0000FF"/>
          <w:sz w:val="21"/>
          <w:lang w:val="en-US" w:eastAsia="zh-CN"/>
        </w:rPr>
      </w:pPr>
    </w:p>
    <w:p w14:paraId="3FE52F86">
      <w:pPr>
        <w:widowControl w:val="0"/>
        <w:numPr>
          <w:ilvl w:val="0"/>
          <w:numId w:val="2"/>
        </w:numPr>
        <w:tabs>
          <w:tab w:val="clear" w:pos="312"/>
        </w:tabs>
        <w:ind w:left="0" w:firstLine="0" w:leftChars="0" w:firstLineChars="0"/>
        <w:jc w:val="both"/>
        <w:rPr>
          <w:rFonts w:ascii="Calibri" w:eastAsia="宋体" w:hAnsi="Calibri"/>
          <w:b w:val="0"/>
          <w:color w:val="0000FF"/>
          <w:sz w:val="21"/>
        </w:rPr>
      </w:pPr>
      <w:r>
        <w:rPr>
          <w:rFonts w:ascii="Calibri" w:eastAsia="宋体" w:hAnsi="Calibri"/>
          <w:b w:val="0"/>
          <w:color w:val="0000FF"/>
          <w:sz w:val="21"/>
        </w:rPr>
        <w:t>在保留传统工艺内核的基础上</w:t>
      </w:r>
      <w:r>
        <w:rPr>
          <w:rFonts w:hint="eastAsia"/>
          <w:b w:val="0"/>
          <w:color w:val="0000FF"/>
          <w:sz w:val="21"/>
          <w:lang w:val="en-US" w:eastAsia="zh-CN"/>
        </w:rPr>
        <w:t>能</w:t>
      </w:r>
      <w:r>
        <w:rPr>
          <w:rFonts w:ascii="Calibri" w:eastAsia="宋体" w:hAnsi="Calibri"/>
          <w:b w:val="0"/>
          <w:color w:val="0000FF"/>
          <w:sz w:val="21"/>
        </w:rPr>
        <w:t>结合当代审美进行文创开发</w:t>
      </w:r>
      <w:r>
        <w:rPr>
          <w:rFonts w:hint="eastAsia"/>
          <w:b w:val="0"/>
          <w:color w:val="0000FF"/>
          <w:sz w:val="21"/>
          <w:lang w:val="en-US" w:eastAsia="zh-CN"/>
        </w:rPr>
        <w:t>设计</w:t>
      </w:r>
      <w:r>
        <w:rPr>
          <w:rFonts w:ascii="Calibri" w:eastAsia="宋体" w:hAnsi="Calibri"/>
          <w:b w:val="0"/>
          <w:color w:val="0000FF"/>
          <w:sz w:val="21"/>
        </w:rPr>
        <w:t>。</w:t>
      </w:r>
    </w:p>
    <w:p w14:paraId="0CA9DABB">
      <w:pPr>
        <w:widowControl w:val="0"/>
        <w:numPr>
          <w:numId w:val="0"/>
        </w:numPr>
        <w:jc w:val="both"/>
        <w:rPr>
          <w:rFonts w:ascii="Calibri" w:eastAsia="宋体" w:hAnsi="Calibri" w:hint="default"/>
          <w:b w:val="0"/>
          <w:color w:val="0000FF"/>
          <w:sz w:val="21"/>
          <w:lang w:val="en-US" w:eastAsia="zh-CN"/>
        </w:rPr>
      </w:pPr>
    </w:p>
    <w:p w14:paraId="46550ABE">
      <w:pPr>
        <w:widowControl w:val="0"/>
        <w:numPr>
          <w:ilvl w:val="0"/>
          <w:numId w:val="2"/>
        </w:numPr>
        <w:tabs>
          <w:tab w:val="clear" w:pos="312"/>
        </w:tabs>
        <w:ind w:left="0" w:firstLine="0" w:leftChars="0" w:firstLineChars="0"/>
        <w:jc w:val="both"/>
        <w:rPr>
          <w:rFonts w:ascii="Calibri" w:eastAsia="宋体" w:hAnsi="Calibri"/>
          <w:b w:val="0"/>
          <w:color w:val="0000FF"/>
          <w:sz w:val="21"/>
        </w:rPr>
      </w:pPr>
      <w:r>
        <w:rPr>
          <w:rFonts w:ascii="Calibri" w:eastAsia="宋体" w:hAnsi="Calibri"/>
          <w:b w:val="0"/>
          <w:color w:val="0000FF"/>
          <w:sz w:val="21"/>
        </w:rPr>
        <w:t>活态传承的前提是</w:t>
      </w:r>
      <w:r>
        <w:rPr>
          <w:rFonts w:hint="eastAsia"/>
          <w:b w:val="0"/>
          <w:color w:val="0000FF"/>
          <w:sz w:val="21"/>
          <w:lang w:val="en-US" w:eastAsia="zh-CN"/>
        </w:rPr>
        <w:t>扩大社会认知，线下</w:t>
      </w:r>
      <w:r>
        <w:rPr>
          <w:rFonts w:ascii="Calibri" w:eastAsia="宋体" w:hAnsi="Calibri"/>
          <w:b w:val="0"/>
          <w:color w:val="0000FF"/>
          <w:sz w:val="21"/>
        </w:rPr>
        <w:t>学生党支部协助工坊开展小型非遗展览活动，走进校园、社区做作品巡展，联系本地的工匠到校园表演技艺，联合本地文旅点位参加展会、民俗活动。</w:t>
      </w:r>
    </w:p>
    <w:p w14:paraId="07316224">
      <w:pPr>
        <w:widowControl w:val="0"/>
        <w:numPr>
          <w:numId w:val="0"/>
        </w:numPr>
        <w:jc w:val="both"/>
        <w:rPr>
          <w:rFonts w:ascii="Calibri" w:eastAsia="宋体" w:hAnsi="Calibri" w:hint="default"/>
          <w:b w:val="0"/>
          <w:color w:val="0000FF"/>
          <w:sz w:val="21"/>
          <w:lang w:val="en-US" w:eastAsia="zh-CN"/>
        </w:rPr>
      </w:pPr>
    </w:p>
    <w:p w14:paraId="5BBA83F1">
      <w:pPr>
        <w:widowControl w:val="0"/>
        <w:numPr>
          <w:ilvl w:val="0"/>
          <w:numId w:val="2"/>
        </w:numPr>
        <w:tabs>
          <w:tab w:val="clear" w:pos="312"/>
        </w:tabs>
        <w:ind w:left="0" w:firstLine="0" w:leftChars="0" w:firstLineChars="0"/>
        <w:jc w:val="both"/>
        <w:rPr>
          <w:rFonts w:ascii="Calibri" w:eastAsia="宋体" w:hAnsi="Calibri"/>
          <w:b w:val="0"/>
          <w:color w:val="0000FF"/>
          <w:sz w:val="21"/>
        </w:rPr>
      </w:pPr>
      <w:r>
        <w:rPr>
          <w:rFonts w:ascii="Calibri" w:eastAsia="宋体" w:hAnsi="Calibri"/>
          <w:b w:val="0"/>
          <w:color w:val="0000FF"/>
          <w:sz w:val="21"/>
        </w:rPr>
        <w:t>学生党支部发</w:t>
      </w:r>
      <w:r>
        <w:rPr>
          <w:rFonts w:hint="eastAsia"/>
          <w:b w:val="0"/>
          <w:color w:val="0000FF"/>
          <w:sz w:val="21"/>
          <w:lang w:val="en-US" w:eastAsia="zh-CN"/>
        </w:rPr>
        <w:t>挥着重</w:t>
      </w:r>
      <w:r>
        <w:rPr>
          <w:rFonts w:ascii="Calibri" w:eastAsia="宋体" w:hAnsi="Calibri"/>
          <w:b w:val="0"/>
          <w:color w:val="0000FF"/>
          <w:sz w:val="21"/>
        </w:rPr>
        <w:t>要的桥梁作用，使工坊可以</w:t>
      </w:r>
      <w:r>
        <w:rPr>
          <w:rFonts w:hint="eastAsia"/>
          <w:b w:val="0"/>
          <w:color w:val="0000FF"/>
          <w:sz w:val="21"/>
          <w:lang w:val="en-US" w:eastAsia="zh-CN"/>
        </w:rPr>
        <w:t>很好</w:t>
      </w:r>
      <w:r>
        <w:rPr>
          <w:rFonts w:ascii="Calibri" w:eastAsia="宋体" w:hAnsi="Calibri"/>
          <w:b w:val="0"/>
          <w:color w:val="0000FF"/>
          <w:sz w:val="21"/>
        </w:rPr>
        <w:t>地融入到都江堰乡村文旅体系当中。</w:t>
      </w:r>
    </w:p>
    <w:p w14:paraId="048A79FA">
      <w:pPr>
        <w:widowControl w:val="0"/>
        <w:numPr>
          <w:numId w:val="0"/>
        </w:numPr>
        <w:jc w:val="both"/>
        <w:rPr>
          <w:rFonts w:ascii="Calibri" w:eastAsia="宋体" w:hAnsi="Calibri" w:hint="default"/>
          <w:b w:val="0"/>
          <w:color w:val="0000FF"/>
          <w:sz w:val="21"/>
          <w:lang w:val="en-US" w:eastAsia="zh-CN"/>
        </w:rPr>
      </w:pPr>
    </w:p>
    <w:p w14:paraId="11DBF88E">
      <w:pPr>
        <w:spacing w:before="0" w:after="0" w:line="360" w:lineRule="auto"/>
        <w:ind w:firstLine="420" w:firstLineChars="200"/>
        <w:rPr>
          <w:color w:val="0000FF"/>
        </w:rPr>
      </w:pPr>
      <w:r>
        <w:rPr>
          <w:rFonts w:ascii="Calibri" w:eastAsia="宋体" w:hAnsi="Calibri" w:hint="eastAsia"/>
          <w:b w:val="0"/>
          <w:color w:val="0000FF"/>
          <w:sz w:val="21"/>
          <w:lang w:val="en-US" w:eastAsia="zh-CN"/>
        </w:rPr>
        <w:t>23.</w:t>
      </w:r>
      <w:r>
        <w:rPr>
          <w:rFonts w:hint="eastAsia"/>
          <w:b w:val="0"/>
          <w:color w:val="0000FF"/>
          <w:sz w:val="21"/>
          <w:lang w:val="en-US" w:eastAsia="zh-CN"/>
        </w:rPr>
        <w:t>但是也不能流于形</w:t>
      </w:r>
      <w:r>
        <w:rPr>
          <w:rFonts w:ascii="Calibri" w:eastAsia="宋体" w:hAnsi="Calibri"/>
          <w:b w:val="0"/>
          <w:color w:val="0000FF"/>
          <w:sz w:val="21"/>
        </w:rPr>
        <w:t>式，应该建立有效的保障体系。学校层面把非遗帮扶实践纳入学生党支部考核评价体系，调动党员学生参与积极性，搭建反馈沟通渠道，根据实际情况及时调整实践内容，按照需要开展帮扶工作，积极与地方政府对接，争取政策资源，使校地合作可持续发展。</w:t>
      </w:r>
    </w:p>
    <w:p w14:paraId="50A774D0">
      <w:pPr>
        <w:widowControl w:val="0"/>
        <w:numPr>
          <w:numId w:val="0"/>
        </w:numPr>
        <w:jc w:val="both"/>
        <w:rPr>
          <w:rFonts w:ascii="Calibri" w:eastAsia="宋体" w:hAnsi="Calibri" w:hint="eastAsia"/>
          <w:b w:val="0"/>
          <w:color w:val="0000FF"/>
          <w:sz w:val="21"/>
          <w:lang w:val="en-US" w:eastAsia="zh-CN"/>
        </w:rPr>
      </w:pPr>
    </w:p>
    <w:p w14:paraId="4E8EA981">
      <w:pPr>
        <w:widowControl w:val="0"/>
        <w:numPr>
          <w:numId w:val="0"/>
        </w:numPr>
        <w:jc w:val="both"/>
        <w:rPr>
          <w:rFonts w:ascii="Calibri" w:eastAsia="宋体" w:hAnsi="Calibri" w:hint="eastAsia"/>
          <w:b w:val="0"/>
          <w:color w:val="0000FF"/>
          <w:sz w:val="21"/>
          <w:lang w:val="en-US" w:eastAsia="zh-CN"/>
        </w:rPr>
      </w:pPr>
    </w:p>
    <w:p w14:paraId="2B8E3E24">
      <w:pPr>
        <w:widowControl w:val="0"/>
        <w:numPr>
          <w:numId w:val="0"/>
        </w:numPr>
        <w:ind w:leftChars="0"/>
        <w:jc w:val="both"/>
        <w:rPr>
          <w:rFonts w:ascii="Calibri" w:eastAsia="宋体" w:hAnsi="Calibri"/>
          <w:b w:val="0"/>
          <w:color w:val="0000FF"/>
          <w:sz w:val="21"/>
        </w:rPr>
      </w:pPr>
      <w:r>
        <w:rPr>
          <w:rFonts w:ascii="Calibri" w:eastAsia="宋体" w:hAnsi="Calibri" w:hint="eastAsia"/>
          <w:b w:val="0"/>
          <w:color w:val="0000FF"/>
          <w:sz w:val="21"/>
          <w:lang w:val="en-US" w:eastAsia="zh-CN"/>
        </w:rPr>
        <w:t>乡村振</w:t>
      </w:r>
      <w:bookmarkStart w:id="0" w:name="_GoBack"/>
      <w:bookmarkEnd w:id="0"/>
      <w:r>
        <w:rPr>
          <w:rFonts w:ascii="Calibri" w:eastAsia="宋体" w:hAnsi="Calibri"/>
          <w:b w:val="0"/>
          <w:color w:val="0000FF"/>
          <w:sz w:val="21"/>
        </w:rPr>
        <w:t>兴背景之下，非遗活态传承是乡村文化振兴的重头戏。</w:t>
      </w:r>
    </w:p>
    <w:p w14:paraId="51FEC8DE">
      <w:pPr>
        <w:widowControl w:val="0"/>
        <w:numPr>
          <w:numId w:val="0"/>
        </w:numPr>
        <w:jc w:val="both"/>
        <w:rPr>
          <w:rFonts w:ascii="Calibri" w:eastAsia="宋体" w:hAnsi="Calibri" w:hint="default"/>
          <w:b w:val="0"/>
          <w:color w:val="0000FF"/>
          <w:sz w:val="21"/>
          <w:lang w:val="en-US" w:eastAsia="zh-CN"/>
        </w:rPr>
      </w:pPr>
    </w:p>
    <w:p w14:paraId="58BE1C01">
      <w:pPr>
        <w:widowControl w:val="0"/>
        <w:numPr>
          <w:numId w:val="0"/>
        </w:numPr>
        <w:jc w:val="both"/>
        <w:rPr>
          <w:rFonts w:ascii="Calibri" w:eastAsia="宋体" w:hAnsi="Calibri" w:hint="default"/>
          <w:b w:val="0"/>
          <w:color w:val="0000FF"/>
          <w:sz w:val="21"/>
          <w:lang w:val="en-US" w:eastAsia="zh-CN"/>
        </w:rPr>
      </w:pPr>
      <w:r>
        <w:rPr>
          <w:rFonts w:ascii="Calibri" w:eastAsia="宋体" w:hAnsi="Calibri"/>
          <w:b w:val="0"/>
          <w:color w:val="0000FF"/>
          <w:sz w:val="21"/>
        </w:rPr>
        <w:t>以学生党支部为载体，以党建共建的方式建立起校地之间长效的合作交流机制，在聚源竹雕工坊创建过程中从人才培育、文创革新、新媒体推广、文旅融合等多个方面开展工作，一方面给传统手工艺增添新的活力，另一方面也满足了高校实践育人的需求。</w:t>
      </w:r>
    </w:p>
    <w:p w14:paraId="353DDE11">
      <w:pPr>
        <w:widowControl w:val="0"/>
        <w:numPr>
          <w:numId w:val="0"/>
        </w:numPr>
        <w:jc w:val="both"/>
        <w:rPr>
          <w:rFonts w:ascii="宋体" w:eastAsia="宋体" w:hAnsi="宋体" w:cs="宋体" w:hint="default"/>
          <w:b w:val="0"/>
          <w:color w:val="0000FF"/>
          <w:sz w:val="21"/>
          <w:lang w:val="en-US" w:eastAsia="zh-CN"/>
        </w:rPr>
      </w:pPr>
    </w:p>
    <w:p w14:paraId="375C22DC">
      <w:pPr>
        <w:widowControl w:val="0"/>
        <w:numPr>
          <w:numId w:val="0"/>
        </w:numPr>
        <w:jc w:val="both"/>
        <w:rPr>
          <w:rFonts w:ascii="宋体" w:eastAsia="宋体" w:hAnsi="宋体" w:cs="宋体" w:hint="default"/>
          <w:b w:val="0"/>
          <w:color w:val="0000FF"/>
          <w:sz w:val="21"/>
          <w:lang w:val="en-US" w:eastAsia="zh-CN"/>
        </w:rPr>
      </w:pPr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erif CJK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ohit Devanagari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D717D055"/>
    <w:multiLevelType w:val="singleLevel"/>
    <w:tmpl w:val="D717D055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AFC01D8"/>
    <w:multiLevelType w:val="singleLevel"/>
    <w:tmpl w:val="0AFC01D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6AB06FE"/>
    <w:rsid w:val="0951022B"/>
    <w:rsid w:val="0B1565EA"/>
    <w:rsid w:val="0DC67402"/>
    <w:rsid w:val="0E6025CB"/>
    <w:rsid w:val="0FC53CE9"/>
    <w:rsid w:val="110A3A14"/>
    <w:rsid w:val="15BC4E5A"/>
    <w:rsid w:val="16D503E4"/>
    <w:rsid w:val="1E11009B"/>
    <w:rsid w:val="1F5D5A23"/>
    <w:rsid w:val="21FB1255"/>
    <w:rsid w:val="23A93707"/>
    <w:rsid w:val="23EE5E61"/>
    <w:rsid w:val="2B91176C"/>
    <w:rsid w:val="30C80E93"/>
    <w:rsid w:val="322F63DF"/>
    <w:rsid w:val="32566459"/>
    <w:rsid w:val="34A37A6F"/>
    <w:rsid w:val="350F525A"/>
    <w:rsid w:val="396561F6"/>
    <w:rsid w:val="3A634EC7"/>
    <w:rsid w:val="3F22501A"/>
    <w:rsid w:val="43716BA9"/>
    <w:rsid w:val="46F0277E"/>
    <w:rsid w:val="47B2458A"/>
    <w:rsid w:val="49136D17"/>
    <w:rsid w:val="49325F42"/>
    <w:rsid w:val="4B7033E4"/>
    <w:rsid w:val="4F2B3B05"/>
    <w:rsid w:val="4F3D659F"/>
    <w:rsid w:val="52145EE2"/>
    <w:rsid w:val="538114A4"/>
    <w:rsid w:val="57CA584B"/>
    <w:rsid w:val="5BBD3D11"/>
    <w:rsid w:val="5C8F7981"/>
    <w:rsid w:val="5DBB53CC"/>
    <w:rsid w:val="609F1996"/>
    <w:rsid w:val="610C5BEA"/>
    <w:rsid w:val="649B63FC"/>
    <w:rsid w:val="653501C5"/>
    <w:rsid w:val="68FD5D5B"/>
    <w:rsid w:val="6B743AC4"/>
    <w:rsid w:val="6C227DB7"/>
    <w:rsid w:val="6CE2153C"/>
    <w:rsid w:val="70763F9A"/>
    <w:rsid w:val="72A638AD"/>
    <w:rsid w:val="72F85BFE"/>
    <w:rsid w:val="79341B08"/>
    <w:rsid w:val="7A4E33A4"/>
    <w:rsid w:val="7A7A06ED"/>
    <w:rsid w:val="7AA4268F"/>
    <w:rsid w:val="7AEE6B12"/>
    <w:rsid w:val="7BA026E0"/>
    <w:rsid w:val="7BED6D2C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767</Words>
  <Characters>773</Characters>
  <Application>Microsoft Office Word</Application>
  <DocSecurity>0</DocSecurity>
  <Lines>0</Lines>
  <Paragraphs>0</Paragraphs>
  <ScaleCrop>false</ScaleCrop>
  <Company/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2026-10-29T10:14:49Z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