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3C47FE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left"/>
        <w:textAlignment w:val="auto"/>
        <w:outlineLvl w:val="0"/>
        <w:rPr>
          <w:rFonts w:ascii="宋体" w:eastAsia="宋体" w:hAnsi="宋体" w:cs="宋体" w:hint="eastAsia"/>
          <w:b w:val="0"/>
          <w:bCs/>
          <w:sz w:val="21"/>
          <w:szCs w:val="21"/>
        </w:rPr>
      </w:pPr>
      <w:bookmarkStart w:id="0" w:name="heading_0"/>
      <w:r>
        <w:rPr>
          <w:rFonts w:ascii="宋体" w:eastAsia="宋体" w:hAnsi="宋体" w:cs="宋体" w:hint="eastAsia"/>
          <w:b w:val="0"/>
          <w:bCs/>
          <w:sz w:val="21"/>
          <w:szCs w:val="21"/>
          <w:lang w:eastAsia="zh-CN"/>
        </w:rPr>
        <w:t>【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摘要</w:t>
      </w:r>
      <w:bookmarkEnd w:id="0"/>
      <w:r>
        <w:rPr>
          <w:rFonts w:ascii="宋体" w:eastAsia="宋体" w:hAnsi="宋体" w:cs="宋体" w:hint="eastAsia"/>
          <w:b w:val="0"/>
          <w:bCs/>
          <w:sz w:val="21"/>
          <w:szCs w:val="21"/>
          <w:lang w:eastAsia="zh-CN"/>
        </w:rPr>
        <w:t>】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目的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val="en-US" w:eastAsia="zh-CN"/>
        </w:rPr>
        <w:t>为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研究胸部定量CT影像参数联合血清乳酸脱氢酶（LDH）、C反应蛋白（CRP）对儿童难治性肺炎支原体肺炎（RMPP）的早期诊断价值，给临床快速识别RMPP提供客观的参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val="en-US" w:eastAsia="zh-CN"/>
        </w:rPr>
        <w:t>考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标准。2024年10月—2025年12月昌吉市人民医院儿科收治的肺炎支原体肺炎患儿96例，随机分为RMPP组42例和普通MPP组54例。采集患儿入院24小时血清LDH、CRP，住院48小时做胸部定量CT检查，取肺实变体积占全肺体积的百分比、磨玻璃影平均CT值两个定量CT参数。比较两组实验室炎症指标和定量CT参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val="en-US" w:eastAsia="zh-CN"/>
        </w:rPr>
        <w:t>数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的差别。RMPP组血清LDH、CRP明显高于普通MPP组。RMPP组肺实变体积占全肺体积百分比明显增加，磨玻璃影平均CT值比普通MPP组高。定量CT影像参数联合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血清LDH、CRP能明显提高儿童RMPP早期诊断的准确率，可以作为临床早期识别难治性支原体肺炎的客观检测方法，腐竹临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val="en-US" w:eastAsia="zh-CN"/>
        </w:rPr>
        <w:t>床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及时调整治疗方案，提高患儿远期预后。</w:t>
      </w:r>
    </w:p>
    <w:p w14:paraId="65971FD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该病发病率高，在临床上病程长，易累及多个系统的功能，症状差别大，早期发现并加以规范的干预可以改善患者的总体情况。目前临床上对于该病的治疗手段种类繁多，不同的治疗方案作用靶点、奇效速度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val="en-US" w:eastAsia="zh-CN"/>
        </w:rPr>
        <w:t>有差别，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怎样挑选合适的干预措施，是临床日常诊疗工作中不断被重视的问题，并且要依靠真实的病例数据来充实临床证据</w:t>
      </w:r>
      <w:r>
        <w:rPr>
          <w:rFonts w:ascii="宋体" w:eastAsia="宋体" w:hAnsi="宋体" w:cs="宋体" w:hint="eastAsia"/>
          <w:b w:val="0"/>
          <w:bCs/>
          <w:sz w:val="21"/>
          <w:szCs w:val="21"/>
          <w:vertAlign w:val="superscript"/>
          <w:lang w:val="en-US" w:eastAsia="zh-CN"/>
        </w:rPr>
        <w:t>[4]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。</w:t>
      </w:r>
    </w:p>
    <w:p w14:paraId="735A9EB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200"/>
        <w:jc w:val="left"/>
        <w:textAlignment w:val="auto"/>
        <w:rPr>
          <w:rFonts w:ascii="宋体" w:eastAsia="宋体" w:hAnsi="宋体" w:cs="宋体" w:hint="eastAsia"/>
          <w:b w:val="0"/>
          <w:bCs/>
          <w:sz w:val="21"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本研究所采用的干预方案操作过程简单，对患者的自身基础情况限制较小，安全性好；但是单独使用只能针对某一方面进行调节，不能对各种异常表现进行综合的调节。对照组临床应用时间长，疗效得到公认，但是实施条件较高，部分患者耐受性不好，在基层推广存在一定的限制，两种方式适合不同的病人</w:t>
      </w:r>
      <w:r>
        <w:rPr>
          <w:rFonts w:ascii="宋体" w:eastAsia="宋体" w:hAnsi="宋体" w:cs="宋体" w:hint="eastAsia"/>
          <w:b w:val="0"/>
          <w:bCs/>
          <w:sz w:val="21"/>
          <w:szCs w:val="21"/>
          <w:vertAlign w:val="superscript"/>
          <w:lang w:val="en-US" w:eastAsia="zh-CN"/>
        </w:rPr>
        <w:t>[5]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。</w:t>
      </w:r>
    </w:p>
    <w:p w14:paraId="2328658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25396E"/>
    <w:rsid w:val="5E2539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2026-10-29T09:53:00Z</dcterms:created>
  <dcterms:modified xsi:type="dcterms:W3CDTF">2026-10-29T09:53:42Z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7ADB32569AD348F7BB8A2CAB778AC8FB_11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eyJoZGlkIjoiMDFiMTczNzEzMjM2YjdmMmQ2MzM3ZDU4MmZjYzdlNDQiLCJ1c2VySWQiOiI1ODIxNTk5MDgifQ==</vt:lpwstr>
  </property>
</Properties>
</file>