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73988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激励体系的建立不能把所有希望都寄托在一个方法上，管理者必须从员工需求的复杂性着手，把物质和精神的满足同时放在同等重要的位置</w:t>
      </w:r>
      <w:bookmarkStart w:id="0" w:name="_GoBack"/>
      <w:bookmarkEnd w:id="0"/>
      <w:r>
        <w:rPr>
          <w:rFonts w:asciiTheme="minorEastAsia" w:eastAsiaTheme="minorEastAsia" w:hAnsiTheme="minorEastAsia" w:cstheme="minorEastAsia" w:hint="eastAsia"/>
          <w:sz w:val="21"/>
          <w:szCs w:val="21"/>
        </w:rPr>
        <w:t>上进行考虑</w:t>
      </w:r>
      <w:r>
        <w:rPr>
          <w:rFonts w:asciiTheme="minorEastAsia" w:eastAsiaTheme="minorEastAsia" w:hAnsiTheme="minorEastAsia" w:cstheme="minorEastAsia" w:hint="eastAsia"/>
          <w:sz w:val="21"/>
          <w:szCs w:val="21"/>
          <w:vertAlign w:val="superscript"/>
          <w:lang w:val="en-US" w:eastAsia="zh-CN"/>
        </w:rPr>
        <w:t>[</w:t>
      </w:r>
      <w:r>
        <w:rPr>
          <w:rFonts w:asciiTheme="minorEastAsia" w:hAnsiTheme="minorEastAsia" w:cstheme="minorEastAsia" w:hint="eastAsia"/>
          <w:sz w:val="21"/>
          <w:szCs w:val="21"/>
          <w:vertAlign w:val="superscript"/>
          <w:lang w:val="en-US" w:eastAsia="zh-CN"/>
        </w:rPr>
        <w:t>5</w:t>
      </w:r>
      <w:r>
        <w:rPr>
          <w:rFonts w:asciiTheme="minorEastAsia" w:eastAsiaTheme="minorEastAsia" w:hAnsiTheme="minorEastAsia" w:cstheme="minorEastAsia" w:hint="eastAsia"/>
          <w:sz w:val="21"/>
          <w:szCs w:val="21"/>
          <w:vertAlign w:val="superscript"/>
          <w:lang w:val="en-US" w:eastAsia="zh-CN"/>
        </w:rPr>
        <w:t>]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。从物质上来说，可以设立基本工资、绩效奖金、项目提成、专项补贴等相互配合的组合，根据各个岗位工作的不同特点对各种成分进行适当的调整，使报酬与劳动付出一致。精神上应该建立起荣誉制度，以年度优秀员工、业务标兵、创新贡献奖等形式设置奖项，并且配套举行公开表彰仪式、内部宣传报道等，使获得者有真切的荣誉感。日常管理中上级要养成及时肯定下属的优良传统，下属完成一项工作、提出一条好的建议，当面给予肯定，比事后统一表扬更有人情味。成长激励不能缺位，组织给予员工培训进修、岗位轮换、参与重大项目的权利，将学习资源作为奖励的形式授予优秀员工，既利于员工的成长，又为组织储备了人才。多元激励体系建立之后，管理者还要定时了解员工的意见和建议，观察各种激励手段的反应情况，在任何时间都可以对激励组合进行相应的调整，使激励体系始终符合员工真实的需求。</w:t>
      </w:r>
    </w:p>
    <w:p w14:paraId="6AD0B1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表</w: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1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多元化激励体系的主要构成与落实要点</w:t>
      </w:r>
    </w:p>
    <w:tbl>
      <w:tblPr>
        <w:tblStyle w:val="TableGrid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8"/>
        <w:gridCol w:w="3424"/>
        <w:gridCol w:w="1955"/>
        <w:gridCol w:w="1865"/>
      </w:tblGrid>
      <w:tr w14:paraId="5955EB12"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dxa"/>
            <w:vAlign w:val="top"/>
          </w:tcPr>
          <w:p w14:paraId="25EB4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激励类型</w:t>
            </w:r>
          </w:p>
        </w:tc>
        <w:tc>
          <w:tcPr>
            <w:tcW w:w="3424" w:type="dxa"/>
            <w:vAlign w:val="top"/>
          </w:tcPr>
          <w:p w14:paraId="770AC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主要形式</w:t>
            </w:r>
          </w:p>
        </w:tc>
        <w:tc>
          <w:tcPr>
            <w:tcW w:w="1955" w:type="dxa"/>
            <w:vAlign w:val="top"/>
          </w:tcPr>
          <w:p w14:paraId="62E3E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落实要点</w:t>
            </w:r>
          </w:p>
        </w:tc>
        <w:tc>
          <w:tcPr>
            <w:tcW w:w="1865" w:type="dxa"/>
            <w:vAlign w:val="top"/>
          </w:tcPr>
          <w:p w14:paraId="4D317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适用对象</w:t>
            </w:r>
          </w:p>
        </w:tc>
      </w:tr>
      <w:tr w14:paraId="2019CB13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dxa"/>
            <w:vAlign w:val="top"/>
          </w:tcPr>
          <w:p w14:paraId="63C40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物质激励</w:t>
            </w:r>
          </w:p>
        </w:tc>
        <w:tc>
          <w:tcPr>
            <w:tcW w:w="3424" w:type="dxa"/>
            <w:vAlign w:val="top"/>
          </w:tcPr>
          <w:p w14:paraId="406A2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绩效奖金、项目提成、专项补贴</w:t>
            </w:r>
          </w:p>
        </w:tc>
        <w:tc>
          <w:tcPr>
            <w:tcW w:w="1955" w:type="dxa"/>
            <w:vAlign w:val="top"/>
          </w:tcPr>
          <w:p w14:paraId="3C854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与考核结果直接挂钩，按期兑现</w:t>
            </w:r>
          </w:p>
        </w:tc>
        <w:tc>
          <w:tcPr>
            <w:tcW w:w="1865" w:type="dxa"/>
            <w:vAlign w:val="top"/>
          </w:tcPr>
          <w:p w14:paraId="788E9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全体员工</w:t>
            </w:r>
          </w:p>
        </w:tc>
      </w:tr>
      <w:tr w14:paraId="35A05E84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dxa"/>
            <w:vAlign w:val="top"/>
          </w:tcPr>
          <w:p w14:paraId="143D5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荣誉激励</w:t>
            </w:r>
          </w:p>
        </w:tc>
        <w:tc>
          <w:tcPr>
            <w:tcW w:w="3424" w:type="dxa"/>
            <w:vAlign w:val="top"/>
          </w:tcPr>
          <w:p w14:paraId="0FFAA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年度评优、业务标兵、创新贡献奖</w:t>
            </w:r>
          </w:p>
        </w:tc>
        <w:tc>
          <w:tcPr>
            <w:tcW w:w="1955" w:type="dxa"/>
            <w:vAlign w:val="top"/>
          </w:tcPr>
          <w:p w14:paraId="769F9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评选规则公开，配套表彰仪式</w:t>
            </w:r>
          </w:p>
        </w:tc>
        <w:tc>
          <w:tcPr>
            <w:tcW w:w="1865" w:type="dxa"/>
            <w:vAlign w:val="top"/>
          </w:tcPr>
          <w:p w14:paraId="52268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表现突出者</w:t>
            </w:r>
          </w:p>
        </w:tc>
      </w:tr>
      <w:tr w14:paraId="69EEE09F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dxa"/>
            <w:vAlign w:val="top"/>
          </w:tcPr>
          <w:p w14:paraId="7EC4D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成长激励</w:t>
            </w:r>
          </w:p>
        </w:tc>
        <w:tc>
          <w:tcPr>
            <w:tcW w:w="3424" w:type="dxa"/>
            <w:vAlign w:val="top"/>
          </w:tcPr>
          <w:p w14:paraId="68149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培训进修、轮岗锻炼、重要项目历练</w:t>
            </w:r>
          </w:p>
        </w:tc>
        <w:tc>
          <w:tcPr>
            <w:tcW w:w="1955" w:type="dxa"/>
            <w:vAlign w:val="top"/>
          </w:tcPr>
          <w:p w14:paraId="14028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名额向优秀员工倾斜，过程有记录</w:t>
            </w:r>
          </w:p>
        </w:tc>
        <w:tc>
          <w:tcPr>
            <w:tcW w:w="1865" w:type="dxa"/>
            <w:vAlign w:val="top"/>
          </w:tcPr>
          <w:p w14:paraId="1317C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有发展潜力者</w:t>
            </w:r>
          </w:p>
        </w:tc>
      </w:tr>
      <w:tr w14:paraId="0C7B4FD6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dxa"/>
            <w:vAlign w:val="top"/>
          </w:tcPr>
          <w:p w14:paraId="65064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情感激励</w:t>
            </w:r>
          </w:p>
        </w:tc>
        <w:tc>
          <w:tcPr>
            <w:tcW w:w="3424" w:type="dxa"/>
            <w:vAlign w:val="top"/>
          </w:tcPr>
          <w:p w14:paraId="102E7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当面肯定、谈心交流、困难帮扶</w:t>
            </w:r>
          </w:p>
        </w:tc>
        <w:tc>
          <w:tcPr>
            <w:tcW w:w="1955" w:type="dxa"/>
            <w:vAlign w:val="top"/>
          </w:tcPr>
          <w:p w14:paraId="20569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及时、真诚、常态化开展</w:t>
            </w:r>
          </w:p>
        </w:tc>
        <w:tc>
          <w:tcPr>
            <w:tcW w:w="1865" w:type="dxa"/>
            <w:vAlign w:val="top"/>
          </w:tcPr>
          <w:p w14:paraId="788CC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全体员工</w:t>
            </w:r>
          </w:p>
        </w:tc>
      </w:tr>
    </w:tbl>
    <w:p w14:paraId="382979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（二）实施差异化分层激励，依据岗位与贡献精准施策</w:t>
      </w:r>
    </w:p>
    <w:p w14:paraId="5A275C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员工队伍千差万别，用一个方案去管理所有人已经不能满足精细化管理的要求，差异化分层激励就是针对这一问题提出的解决思路。管理者先从岗位价值的考评入手，从职责范围、技术难度、责任风险等几个方面对各个岗位进行评分排序，得到一个较为清晰的岗位价值序列，用以作为分配资源的参考标准。在此基础上对人员类别进行分类设计激励的重点，业务经办骨干可以采取专项津贴和职业发展通道并重的方式，窗口服务岗位以服务质量奖励、群众评价激励相结合的方式激励，综合保障类岗位以稳定薪酬、履职质量奖励相融合的方式激励。年龄、职业阶段也要考虑进去，年轻员工看重的是学习的机会、晋升的空间，老员工看重的是被尊重、被重视以及被照顾，激励措施要有所偏向。贡献大小的区分是必要的，对于绩效优秀的员工，奖金系数、评优资格、培训名额都应比普通员工高出许多，才能使差距真实地体现出来。组织在实施过程中要给各个序列划分不同的评价口径，防止横向比较造成攀比，定期对各类人员的满意程度进行调查，依据调查结果随时调整方案的细节。</w:t>
      </w:r>
    </w:p>
    <w:p w14:paraId="200398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表1 不同类别人员的激励侧重安排</w:t>
      </w:r>
    </w:p>
    <w:tbl>
      <w:tblPr>
        <w:tblStyle w:val="TableGrid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8"/>
        <w:gridCol w:w="2125"/>
        <w:gridCol w:w="2698"/>
        <w:gridCol w:w="2131"/>
      </w:tblGrid>
      <w:tr w14:paraId="7CBFCC8D"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8" w:type="dxa"/>
            <w:vAlign w:val="top"/>
          </w:tcPr>
          <w:p w14:paraId="06E36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人员类别</w:t>
            </w:r>
          </w:p>
        </w:tc>
        <w:tc>
          <w:tcPr>
            <w:tcW w:w="2125" w:type="dxa"/>
            <w:vAlign w:val="top"/>
          </w:tcPr>
          <w:p w14:paraId="18169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激励侧重方向</w:t>
            </w:r>
          </w:p>
        </w:tc>
        <w:tc>
          <w:tcPr>
            <w:tcW w:w="2698" w:type="dxa"/>
            <w:vAlign w:val="top"/>
          </w:tcPr>
          <w:p w14:paraId="02043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主要激励形式</w:t>
            </w:r>
          </w:p>
        </w:tc>
        <w:tc>
          <w:tcPr>
            <w:tcW w:w="2131" w:type="dxa"/>
            <w:vAlign w:val="top"/>
          </w:tcPr>
          <w:p w14:paraId="259F4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实施关注点</w:t>
            </w:r>
          </w:p>
        </w:tc>
      </w:tr>
      <w:tr w14:paraId="64F5F2B5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8" w:type="dxa"/>
            <w:vAlign w:val="top"/>
          </w:tcPr>
          <w:p w14:paraId="5CA7A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业务骨干</w:t>
            </w:r>
          </w:p>
        </w:tc>
        <w:tc>
          <w:tcPr>
            <w:tcW w:w="2125" w:type="dxa"/>
            <w:vAlign w:val="top"/>
          </w:tcPr>
          <w:p w14:paraId="2AF4A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专项津贴与成长通道并重</w:t>
            </w:r>
          </w:p>
        </w:tc>
        <w:tc>
          <w:tcPr>
            <w:tcW w:w="2698" w:type="dxa"/>
            <w:vAlign w:val="top"/>
          </w:tcPr>
          <w:p w14:paraId="54F6E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业务专家评聘、疑难事项处置奖励、培训进修名额</w:t>
            </w:r>
          </w:p>
        </w:tc>
        <w:tc>
          <w:tcPr>
            <w:tcW w:w="2131" w:type="dxa"/>
            <w:vAlign w:val="top"/>
          </w:tcPr>
          <w:p w14:paraId="20E49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突出专业贡献认定，成长路径清晰</w:t>
            </w:r>
          </w:p>
        </w:tc>
      </w:tr>
      <w:tr w14:paraId="3D6CFD8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8" w:type="dxa"/>
            <w:vAlign w:val="top"/>
          </w:tcPr>
          <w:p w14:paraId="5F340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窗口服务人员</w:t>
            </w:r>
          </w:p>
        </w:tc>
        <w:tc>
          <w:tcPr>
            <w:tcW w:w="2125" w:type="dxa"/>
            <w:vAlign w:val="top"/>
          </w:tcPr>
          <w:p w14:paraId="1E288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服务质量与群众评价激励</w:t>
            </w:r>
          </w:p>
        </w:tc>
        <w:tc>
          <w:tcPr>
            <w:tcW w:w="2698" w:type="dxa"/>
            <w:vAlign w:val="top"/>
          </w:tcPr>
          <w:p w14:paraId="2C788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服务之星评选、满意度星级奖励、文明服务标兵</w:t>
            </w:r>
          </w:p>
        </w:tc>
        <w:tc>
          <w:tcPr>
            <w:tcW w:w="2131" w:type="dxa"/>
            <w:vAlign w:val="top"/>
          </w:tcPr>
          <w:p w14:paraId="14BE6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将群众满意度、一次办结情况纳入评价</w:t>
            </w:r>
          </w:p>
        </w:tc>
      </w:tr>
      <w:tr w14:paraId="030E7CB8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8" w:type="dxa"/>
            <w:vAlign w:val="top"/>
          </w:tcPr>
          <w:p w14:paraId="0CA64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综合保障人员</w:t>
            </w:r>
          </w:p>
        </w:tc>
        <w:tc>
          <w:tcPr>
            <w:tcW w:w="2125" w:type="dxa"/>
            <w:vAlign w:val="top"/>
          </w:tcPr>
          <w:p w14:paraId="64B56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稳定薪酬与履职质量奖励搭配</w:t>
            </w:r>
          </w:p>
        </w:tc>
        <w:tc>
          <w:tcPr>
            <w:tcW w:w="2698" w:type="dxa"/>
            <w:vAlign w:val="top"/>
          </w:tcPr>
          <w:p w14:paraId="22754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固定薪酬为主、履职评优、协作事项专项肯定</w:t>
            </w:r>
          </w:p>
        </w:tc>
        <w:tc>
          <w:tcPr>
            <w:tcW w:w="2131" w:type="dxa"/>
            <w:vAlign w:val="top"/>
          </w:tcPr>
          <w:p w14:paraId="53E84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考核侧重保障质量与跨部门配合表现</w:t>
            </w:r>
          </w:p>
        </w:tc>
      </w:tr>
      <w:tr w14:paraId="0A80374A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8" w:type="dxa"/>
            <w:vAlign w:val="top"/>
          </w:tcPr>
          <w:p w14:paraId="77F61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年轻人员</w:t>
            </w:r>
          </w:p>
        </w:tc>
        <w:tc>
          <w:tcPr>
            <w:tcW w:w="2125" w:type="dxa"/>
            <w:vAlign w:val="top"/>
          </w:tcPr>
          <w:p w14:paraId="6D667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学习机会与晋升空间</w:t>
            </w:r>
          </w:p>
        </w:tc>
        <w:tc>
          <w:tcPr>
            <w:tcW w:w="2698" w:type="dxa"/>
            <w:vAlign w:val="top"/>
          </w:tcPr>
          <w:p w14:paraId="40BBF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培训名额、轮岗锻炼、晋升推荐</w:t>
            </w:r>
          </w:p>
        </w:tc>
        <w:tc>
          <w:tcPr>
            <w:tcW w:w="2131" w:type="dxa"/>
            <w:vAlign w:val="top"/>
          </w:tcPr>
          <w:p w14:paraId="3CBC8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给足成长路径，及时反馈日常表现</w:t>
            </w:r>
          </w:p>
        </w:tc>
      </w:tr>
      <w:tr w14:paraId="31FDE0E8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8" w:type="dxa"/>
            <w:vAlign w:val="top"/>
          </w:tcPr>
          <w:p w14:paraId="29B9D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资深人员</w:t>
            </w:r>
          </w:p>
        </w:tc>
        <w:tc>
          <w:tcPr>
            <w:tcW w:w="2125" w:type="dxa"/>
            <w:vAlign w:val="top"/>
          </w:tcPr>
          <w:p w14:paraId="5FBF3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尊重认同与保障安排</w:t>
            </w:r>
          </w:p>
        </w:tc>
        <w:tc>
          <w:tcPr>
            <w:tcW w:w="2698" w:type="dxa"/>
            <w:vAlign w:val="top"/>
          </w:tcPr>
          <w:p w14:paraId="6B512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荣誉授予、带教津贴、福利递增</w:t>
            </w:r>
          </w:p>
        </w:tc>
        <w:tc>
          <w:tcPr>
            <w:tcW w:w="2131" w:type="dxa"/>
            <w:vAlign w:val="top"/>
          </w:tcPr>
          <w:p w14:paraId="6A04B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leftChars="0" w:rightChars="0" w:firstLineChars="0"/>
              <w:jc w:val="center"/>
              <w:textAlignment w:val="top"/>
              <w:rPr>
                <w:rFonts w:asciiTheme="minorEastAsia" w:eastAsiaTheme="minorEastAsia" w:hAnsiTheme="minorEastAsia" w:cstheme="minorEastAsia" w:hint="eastAsia"/>
                <w:sz w:val="21"/>
                <w:szCs w:val="21"/>
                <w:vertAlign w:val="baseline"/>
              </w:rPr>
            </w:pPr>
            <w:r>
              <w:rPr>
                <w:rFonts w:asciiTheme="minorEastAsia" w:eastAsiaTheme="minorEastAsia" w:hAnsiTheme="minorEastAsia" w:cstheme="minorEastAsia" w:hint="eastAsia"/>
                <w:i w:val="0"/>
                <w:iCs w:val="0"/>
                <w:caps w:val="0"/>
                <w:color w:val="1A2029"/>
                <w:spacing w:val="0"/>
                <w:kern w:val="0"/>
                <w:sz w:val="21"/>
                <w:szCs w:val="21"/>
                <w:lang w:val="en-US" w:eastAsia="zh-CN" w:bidi="ar"/>
              </w:rPr>
              <w:t>兼顾情感关怀与待遇保障</w:t>
            </w:r>
          </w:p>
        </w:tc>
      </w:tr>
    </w:tbl>
    <w:p w14:paraId="1EE12F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（四）坚持长短期激励相结合，建立持续长效激励机制</w:t>
      </w:r>
    </w:p>
    <w:p w14:paraId="1330B3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短期激励解决的是当下干劲的问题，长期激励解决的是人心归宿的问题，二者只有结合使用才能使组织既有活力又稳固根基。管理者在制定方案的时候要划分好层次，月度、季度的奖励注重即时的反馈，使员工的每一项努力都有了结果，年度奖励看重全面的考核，年终根据一年的工作表现统一兑现。长期安排可以更加丰富多彩，对核心骨干实施以组织经营状况为依据的延期支付制度，分年度逐步兑现承诺的利益，让优秀人才的利益同组织的长远业绩绑定在一起；建立任职年限与待遇提高的联动机制，员工在关键岗位上服务时间越长，所享受的福利待遇就越高，设计内部晋升和职业发展长期规划，把培训、轮岗、接班人培养融合在一起，让员工知道将来自己处在怎样的位置。制度落实之后还要重视衔接维护，长期激励承诺一旦作出就必须写入书面文件并严格执行，换届或者机构调整不得随意修改，组织信誉是长期激励制度运行的基础，守信践诺本身就是最有力的长期激励。</w:t>
      </w:r>
    </w:p>
    <w:p w14:paraId="319C0B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结束语</w:t>
      </w:r>
    </w:p>
    <w:p w14:paraId="657429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激励机制的使用要达到高效，是一项需要不断磨砺的系统工程，牵涉理念革新、制度规划、落实执行等方方面面。管理者如果能真正理解员工的需求，将物质和精神、短期和长期、一致与不同等关系处理得当的话，激励资源就会被有效地运用到最需要的地方，员工的价值创造热情也才会一直燃烧。组织环境会不断发生变化，激励制度在动态调整的过程中要具有生命力，给人力资源管理水平的提升赋予持久的支持。</w:t>
      </w:r>
    </w:p>
    <w:p w14:paraId="7436D1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参考文献：</w:t>
      </w:r>
    </w:p>
    <w:p w14:paraId="39EA56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[1]陈昊,李海涛.人力资源管理中的员工激励机制创新[J].销售与管理,2025,(34):78-80.</w:t>
      </w:r>
    </w:p>
    <w:p w14:paraId="449993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[2]王晓敏.人力资源管理中激励机制的科学设计[J].中国科技投资,2025,(5):109-112.</w:t>
      </w:r>
    </w:p>
    <w:p w14:paraId="310E07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TrueTypeFonts/>
  <w:saveSubset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C82158F"/>
    <w:rsid w:val="19AA12E4"/>
    <w:rsid w:val="205C6CC9"/>
    <w:rsid w:val="2661634B"/>
    <w:rsid w:val="2BBD78CF"/>
    <w:rsid w:val="32CA435E"/>
    <w:rsid w:val="387119AC"/>
    <w:rsid w:val="38D83FB2"/>
    <w:rsid w:val="497F373E"/>
    <w:rsid w:val="526861E8"/>
    <w:rsid w:val="550F7668"/>
    <w:rsid w:val="560F069D"/>
    <w:rsid w:val="59A5248E"/>
    <w:rsid w:val="61554890"/>
    <w:rsid w:val="64A21A2D"/>
    <w:rsid w:val="6AD15D75"/>
    <w:rsid w:val="70C573BD"/>
    <w:rsid w:val="76147DF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样式1"/>
    <w:basedOn w:val="Normal"/>
    <w:qFormat/>
    <w:pPr>
      <w:spacing w:before="100" w:beforeLines="100" w:after="80" w:afterLines="80" w:line="440" w:lineRule="exact"/>
      <w:jc w:val="center"/>
      <w:outlineLvl w:val="0"/>
    </w:pPr>
    <w:rPr>
      <w:rFonts w:ascii="Calibri" w:eastAsia="黑体" w:hAnsi="Calibri" w:cs="宋体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4974</Words>
  <Characters>5090</Characters>
  <Application>Microsoft Office Word</Application>
  <DocSecurity>0</DocSecurity>
  <Lines>0</Lines>
  <Paragraphs>0</Paragraphs>
  <ScaleCrop>false</ScaleCrop>
  <Company/>
  <LinksUpToDate>false</LinksUpToDate>
  <CharactersWithSpaces>5093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不在奢求</cp:lastModifiedBy>
  <cp:revision>0</cp:revision>
  <dcterms:created xsi:type="dcterms:W3CDTF">2025-04-29T11:07:00Z</dcterms:created>
  <dcterms:modified xsi:type="dcterms:W3CDTF">2026-10-29T07:28:15Z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113BE864C61E488CA40F7CE947939010_12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eyJoZGlkIjoiMDVhYTcyYjU1OGRhZGVmMjE2Y2VhMzMzN2U0YWFmMTUiLCJ1c2VySWQiOiI0MDIyNjQyODgifQ==</vt:lpwstr>
  </property>
</Properties>
</file>